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7FDC4E1D" w14:textId="77777777" w:rsidTr="005F7F7E">
        <w:tc>
          <w:tcPr>
            <w:tcW w:w="2438" w:type="dxa"/>
            <w:shd w:val="clear" w:color="auto" w:fill="auto"/>
          </w:tcPr>
          <w:p w14:paraId="4F8D718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048B1DE" w14:textId="7F32F453" w:rsidR="00F445B1" w:rsidRPr="00F95BC9" w:rsidRDefault="00F445B1" w:rsidP="00392A3F">
            <w:pPr>
              <w:rPr>
                <w:rStyle w:val="Firstpagetablebold"/>
              </w:rPr>
            </w:pPr>
            <w:r w:rsidRPr="00F95BC9">
              <w:rPr>
                <w:rStyle w:val="Firstpagetablebold"/>
              </w:rPr>
              <w:t>C</w:t>
            </w:r>
            <w:r w:rsidR="003A5834">
              <w:rPr>
                <w:rStyle w:val="Firstpagetablebold"/>
              </w:rPr>
              <w:t>abinet</w:t>
            </w:r>
            <w:r w:rsidR="00DE50D6">
              <w:rPr>
                <w:rStyle w:val="Firstpagetablebold"/>
              </w:rPr>
              <w:t xml:space="preserve"> </w:t>
            </w:r>
            <w:r w:rsidR="00392A3F">
              <w:rPr>
                <w:rStyle w:val="Firstpagetablebold"/>
              </w:rPr>
              <w:t xml:space="preserve">– </w:t>
            </w:r>
            <w:r w:rsidR="00392A3F" w:rsidRPr="00392A3F">
              <w:rPr>
                <w:rStyle w:val="Firstpagetablebold"/>
              </w:rPr>
              <w:t xml:space="preserve">10 November 2021              </w:t>
            </w:r>
            <w:r w:rsidR="00DE50D6">
              <w:rPr>
                <w:rStyle w:val="Firstpagetablebold"/>
              </w:rPr>
              <w:t xml:space="preserve">                             </w:t>
            </w:r>
          </w:p>
        </w:tc>
      </w:tr>
      <w:tr w:rsidR="00CE544A" w:rsidRPr="00975B07" w14:paraId="72C914B9" w14:textId="77777777" w:rsidTr="005F7F7E">
        <w:tc>
          <w:tcPr>
            <w:tcW w:w="2438" w:type="dxa"/>
            <w:shd w:val="clear" w:color="auto" w:fill="auto"/>
          </w:tcPr>
          <w:p w14:paraId="41AD9EC8" w14:textId="4360417D" w:rsidR="00F445B1" w:rsidRPr="00975B07" w:rsidRDefault="00F445B1" w:rsidP="004A6D2F">
            <w:pPr>
              <w:rPr>
                <w:rStyle w:val="Firstpagetablebold"/>
              </w:rPr>
            </w:pPr>
          </w:p>
        </w:tc>
        <w:tc>
          <w:tcPr>
            <w:tcW w:w="6406" w:type="dxa"/>
            <w:shd w:val="clear" w:color="auto" w:fill="auto"/>
          </w:tcPr>
          <w:p w14:paraId="3CB12444" w14:textId="49144B5E" w:rsidR="00F445B1" w:rsidRPr="001356F1" w:rsidRDefault="00392A3F" w:rsidP="00DE50D6">
            <w:pPr>
              <w:rPr>
                <w:b/>
              </w:rPr>
            </w:pPr>
            <w:r w:rsidRPr="00392A3F">
              <w:rPr>
                <w:b/>
              </w:rPr>
              <w:t xml:space="preserve">Council </w:t>
            </w:r>
            <w:r>
              <w:rPr>
                <w:b/>
              </w:rPr>
              <w:t xml:space="preserve">– </w:t>
            </w:r>
            <w:r w:rsidR="00DE50D6">
              <w:rPr>
                <w:rStyle w:val="Firstpagetablebold"/>
              </w:rPr>
              <w:t>29 November 2021</w:t>
            </w:r>
          </w:p>
        </w:tc>
      </w:tr>
      <w:tr w:rsidR="00CE544A" w:rsidRPr="00975B07" w14:paraId="347E41A0" w14:textId="77777777" w:rsidTr="005F7F7E">
        <w:tc>
          <w:tcPr>
            <w:tcW w:w="2438" w:type="dxa"/>
            <w:shd w:val="clear" w:color="auto" w:fill="auto"/>
          </w:tcPr>
          <w:p w14:paraId="272CFD1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3F6F76A" w14:textId="77777777"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r w:rsidR="004637F9">
              <w:rPr>
                <w:rStyle w:val="Firstpagetablebold"/>
              </w:rPr>
              <w:t xml:space="preserve"> Services</w:t>
            </w:r>
          </w:p>
        </w:tc>
      </w:tr>
      <w:tr w:rsidR="00CE544A" w:rsidRPr="00975B07" w14:paraId="778176F4" w14:textId="77777777" w:rsidTr="005F7F7E">
        <w:tc>
          <w:tcPr>
            <w:tcW w:w="2438" w:type="dxa"/>
            <w:shd w:val="clear" w:color="auto" w:fill="auto"/>
          </w:tcPr>
          <w:p w14:paraId="6AA85FB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86D6325" w14:textId="77777777" w:rsidR="00F445B1" w:rsidRPr="005B552F" w:rsidRDefault="000E26C8" w:rsidP="00DE50D6">
            <w:pPr>
              <w:rPr>
                <w:rStyle w:val="Firstpagetablebold"/>
                <w:b w:val="0"/>
              </w:rPr>
            </w:pPr>
            <w:r w:rsidRPr="005B552F">
              <w:rPr>
                <w:b/>
              </w:rPr>
              <w:t>Use of Retained Right to Buy Receipts to increase the provision of more affordable housing</w:t>
            </w:r>
          </w:p>
        </w:tc>
      </w:tr>
    </w:tbl>
    <w:p w14:paraId="3CBD59C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14990EF" w14:textId="77777777" w:rsidTr="0080749A">
        <w:tc>
          <w:tcPr>
            <w:tcW w:w="8845" w:type="dxa"/>
            <w:gridSpan w:val="3"/>
            <w:tcBorders>
              <w:bottom w:val="single" w:sz="8" w:space="0" w:color="000000"/>
            </w:tcBorders>
            <w:hideMark/>
          </w:tcPr>
          <w:p w14:paraId="472A6AA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9F47100" w14:textId="77777777" w:rsidTr="0080749A">
        <w:tc>
          <w:tcPr>
            <w:tcW w:w="2438" w:type="dxa"/>
            <w:gridSpan w:val="2"/>
            <w:tcBorders>
              <w:top w:val="single" w:sz="8" w:space="0" w:color="000000"/>
              <w:left w:val="single" w:sz="8" w:space="0" w:color="000000"/>
              <w:bottom w:val="nil"/>
              <w:right w:val="nil"/>
            </w:tcBorders>
            <w:hideMark/>
          </w:tcPr>
          <w:p w14:paraId="3E49F0A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5A0EEC3" w14:textId="77777777" w:rsidR="00D5547E" w:rsidRPr="000E26C8" w:rsidRDefault="000E26C8" w:rsidP="00DE50D6">
            <w:pPr>
              <w:rPr>
                <w:rFonts w:cs="Arial"/>
                <w:color w:val="auto"/>
              </w:rPr>
            </w:pPr>
            <w:r w:rsidRPr="000E26C8">
              <w:t xml:space="preserve">The report </w:t>
            </w:r>
            <w:r w:rsidR="00522346">
              <w:t>seeks</w:t>
            </w:r>
            <w:r w:rsidRPr="000E26C8">
              <w:t xml:space="preserve"> project approval and delegations to enable the spending of Retained Right to Buy Receipts for the purpose of delive</w:t>
            </w:r>
            <w:r w:rsidR="00522346">
              <w:t>ring</w:t>
            </w:r>
            <w:r w:rsidR="00DE50D6">
              <w:t xml:space="preserve"> </w:t>
            </w:r>
            <w:r w:rsidRPr="000E26C8">
              <w:t>more affordable housing, through new build or acquisition activity.</w:t>
            </w:r>
          </w:p>
        </w:tc>
      </w:tr>
      <w:tr w:rsidR="00D5547E" w14:paraId="7FF896AA" w14:textId="77777777" w:rsidTr="0080749A">
        <w:tc>
          <w:tcPr>
            <w:tcW w:w="2438" w:type="dxa"/>
            <w:gridSpan w:val="2"/>
            <w:tcBorders>
              <w:top w:val="nil"/>
              <w:left w:val="single" w:sz="8" w:space="0" w:color="000000"/>
              <w:bottom w:val="nil"/>
              <w:right w:val="nil"/>
            </w:tcBorders>
            <w:hideMark/>
          </w:tcPr>
          <w:p w14:paraId="319FF5C0"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0A39E31" w14:textId="77777777" w:rsidR="00D5547E" w:rsidRPr="001356F1" w:rsidRDefault="00D5547E" w:rsidP="00614848">
            <w:r w:rsidRPr="001356F1">
              <w:t xml:space="preserve">Yes </w:t>
            </w:r>
          </w:p>
        </w:tc>
      </w:tr>
      <w:tr w:rsidR="00D5547E" w14:paraId="0DCF1F1E" w14:textId="77777777" w:rsidTr="0080749A">
        <w:tc>
          <w:tcPr>
            <w:tcW w:w="2438" w:type="dxa"/>
            <w:gridSpan w:val="2"/>
            <w:tcBorders>
              <w:top w:val="nil"/>
              <w:left w:val="single" w:sz="8" w:space="0" w:color="000000"/>
              <w:bottom w:val="nil"/>
              <w:right w:val="nil"/>
            </w:tcBorders>
            <w:hideMark/>
          </w:tcPr>
          <w:p w14:paraId="7EB8E1ED" w14:textId="77777777" w:rsidR="00D5547E" w:rsidRDefault="003270FE" w:rsidP="003270FE">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5C05023" w14:textId="77777777" w:rsidR="00D5547E" w:rsidRPr="001356F1" w:rsidRDefault="00DE50D6" w:rsidP="00CC42CC">
            <w:r w:rsidRPr="001356F1">
              <w:t xml:space="preserve">Councillor </w:t>
            </w:r>
            <w:r>
              <w:t>Diko Blackings, Cabinet Member for Affordable Housing, Housing Security and Housing the Homeless</w:t>
            </w:r>
          </w:p>
        </w:tc>
      </w:tr>
      <w:tr w:rsidR="0080749A" w14:paraId="68627CD3" w14:textId="77777777" w:rsidTr="0080749A">
        <w:tc>
          <w:tcPr>
            <w:tcW w:w="2438" w:type="dxa"/>
            <w:gridSpan w:val="2"/>
            <w:tcBorders>
              <w:top w:val="nil"/>
              <w:left w:val="single" w:sz="8" w:space="0" w:color="000000"/>
              <w:bottom w:val="nil"/>
              <w:right w:val="nil"/>
            </w:tcBorders>
          </w:tcPr>
          <w:p w14:paraId="5DE9718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FB61C24" w14:textId="77777777" w:rsidR="007066D0" w:rsidRPr="001356F1" w:rsidRDefault="00614848" w:rsidP="00CC42CC">
            <w:r>
              <w:t>Meeting Housing Needs</w:t>
            </w:r>
          </w:p>
        </w:tc>
      </w:tr>
      <w:tr w:rsidR="00D5547E" w14:paraId="7B90CAA6" w14:textId="77777777" w:rsidTr="0080749A">
        <w:tc>
          <w:tcPr>
            <w:tcW w:w="2438" w:type="dxa"/>
            <w:gridSpan w:val="2"/>
            <w:tcBorders>
              <w:top w:val="nil"/>
              <w:left w:val="single" w:sz="8" w:space="0" w:color="000000"/>
              <w:bottom w:val="nil"/>
              <w:right w:val="nil"/>
            </w:tcBorders>
            <w:hideMark/>
          </w:tcPr>
          <w:p w14:paraId="255B8C2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41BDA41" w14:textId="77777777" w:rsidR="00D5547E" w:rsidRPr="001356F1" w:rsidRDefault="00614848" w:rsidP="00614848">
            <w:r>
              <w:t>Housing and Homelessness Strategy 2018 to 2021</w:t>
            </w:r>
          </w:p>
        </w:tc>
      </w:tr>
      <w:tr w:rsidR="005F7F7E" w:rsidRPr="00975B07" w14:paraId="352FFB5A" w14:textId="77777777" w:rsidTr="00392A3F">
        <w:trPr>
          <w:trHeight w:val="413"/>
        </w:trPr>
        <w:tc>
          <w:tcPr>
            <w:tcW w:w="8845" w:type="dxa"/>
            <w:gridSpan w:val="3"/>
            <w:tcBorders>
              <w:bottom w:val="single" w:sz="8" w:space="0" w:color="000000"/>
            </w:tcBorders>
          </w:tcPr>
          <w:p w14:paraId="7CBB36BD" w14:textId="7406AEB9" w:rsidR="005F7F7E" w:rsidRPr="00975B07" w:rsidRDefault="000738A9" w:rsidP="000738A9">
            <w:r>
              <w:rPr>
                <w:rStyle w:val="Firstpagetablebold"/>
              </w:rPr>
              <w:t>Recommendations</w:t>
            </w:r>
            <w:r w:rsidR="005F7F7E">
              <w:rPr>
                <w:rStyle w:val="Firstpagetablebold"/>
              </w:rPr>
              <w:t>:</w:t>
            </w:r>
            <w:r w:rsidR="00F97E07">
              <w:rPr>
                <w:rStyle w:val="Firstpagetablebold"/>
              </w:rPr>
              <w:t xml:space="preserve"> </w:t>
            </w:r>
            <w:r>
              <w:rPr>
                <w:rStyle w:val="Firstpagetablebold"/>
                <w:b w:val="0"/>
              </w:rPr>
              <w:t xml:space="preserve">That </w:t>
            </w:r>
            <w:r w:rsidR="005F7F7E" w:rsidRPr="000738A9">
              <w:rPr>
                <w:rStyle w:val="Firstpagetablebold"/>
                <w:b w:val="0"/>
              </w:rPr>
              <w:t xml:space="preserve"> C</w:t>
            </w:r>
            <w:r w:rsidR="00F97E07" w:rsidRPr="000738A9">
              <w:rPr>
                <w:rStyle w:val="Firstpagetablebold"/>
                <w:b w:val="0"/>
              </w:rPr>
              <w:t>abinet</w:t>
            </w:r>
            <w:r w:rsidR="005F7F7E" w:rsidRPr="000738A9">
              <w:rPr>
                <w:rStyle w:val="Firstpagetablebold"/>
                <w:b w:val="0"/>
              </w:rPr>
              <w:t xml:space="preserve"> resolves to:</w:t>
            </w:r>
          </w:p>
        </w:tc>
      </w:tr>
      <w:tr w:rsidR="0030208D" w:rsidRPr="00975B07" w14:paraId="1B1C9A71" w14:textId="77777777" w:rsidTr="00392A3F">
        <w:trPr>
          <w:trHeight w:val="283"/>
        </w:trPr>
        <w:tc>
          <w:tcPr>
            <w:tcW w:w="426" w:type="dxa"/>
            <w:tcBorders>
              <w:top w:val="single" w:sz="8" w:space="0" w:color="000000"/>
              <w:left w:val="single" w:sz="8" w:space="0" w:color="000000"/>
              <w:bottom w:val="single" w:sz="4" w:space="0" w:color="auto"/>
              <w:right w:val="nil"/>
            </w:tcBorders>
          </w:tcPr>
          <w:p w14:paraId="0CCA8DEE" w14:textId="77777777" w:rsidR="00E61E15" w:rsidRPr="002526D4" w:rsidRDefault="00046D2B" w:rsidP="004A6D2F">
            <w:r w:rsidRPr="002526D4">
              <w:t>1.</w:t>
            </w:r>
          </w:p>
          <w:p w14:paraId="51B39BF5" w14:textId="77777777" w:rsidR="00E61E15" w:rsidRPr="002526D4" w:rsidRDefault="00E61E15" w:rsidP="004A6D2F">
            <w:pPr>
              <w:rPr>
                <w:sz w:val="16"/>
                <w:szCs w:val="16"/>
              </w:rPr>
            </w:pPr>
          </w:p>
          <w:p w14:paraId="2E2B31ED" w14:textId="77777777" w:rsidR="002526D4" w:rsidRPr="002526D4" w:rsidRDefault="002526D4" w:rsidP="004A6D2F">
            <w:pPr>
              <w:rPr>
                <w:sz w:val="16"/>
                <w:szCs w:val="16"/>
              </w:rPr>
            </w:pPr>
          </w:p>
          <w:p w14:paraId="3BC2F5FD" w14:textId="77777777" w:rsidR="00522346" w:rsidRPr="002526D4" w:rsidRDefault="00522346" w:rsidP="004A6D2F">
            <w:r w:rsidRPr="002526D4">
              <w:t>2.</w:t>
            </w:r>
          </w:p>
          <w:p w14:paraId="27C5765C" w14:textId="77777777" w:rsidR="00F4106C" w:rsidRPr="002526D4" w:rsidRDefault="00F4106C" w:rsidP="004A6D2F"/>
          <w:p w14:paraId="5D5A73EC" w14:textId="77777777" w:rsidR="008E5766" w:rsidRPr="002526D4" w:rsidRDefault="008E5766" w:rsidP="004A6D2F"/>
          <w:p w14:paraId="721E1007" w14:textId="77777777" w:rsidR="00522346" w:rsidRPr="002526D4" w:rsidRDefault="00522346" w:rsidP="004A6D2F">
            <w:r w:rsidRPr="002526D4">
              <w:t>3.</w:t>
            </w:r>
          </w:p>
          <w:p w14:paraId="0659E0F2" w14:textId="77777777" w:rsidR="007004C0" w:rsidRPr="002526D4" w:rsidRDefault="007004C0" w:rsidP="004A6D2F"/>
          <w:p w14:paraId="28AACA8A" w14:textId="77777777" w:rsidR="002526D4" w:rsidRPr="00392A3F" w:rsidRDefault="002526D4" w:rsidP="004A6D2F">
            <w:pPr>
              <w:rPr>
                <w:sz w:val="28"/>
                <w:szCs w:val="28"/>
              </w:rPr>
            </w:pPr>
          </w:p>
          <w:p w14:paraId="411755E4" w14:textId="77777777" w:rsidR="007004C0" w:rsidRPr="002526D4" w:rsidRDefault="007004C0" w:rsidP="004A6D2F">
            <w:r w:rsidRPr="002526D4">
              <w:t>4.</w:t>
            </w:r>
          </w:p>
          <w:p w14:paraId="3746EB96" w14:textId="77777777" w:rsidR="003270FE" w:rsidRPr="002526D4" w:rsidRDefault="003270FE" w:rsidP="004A6D2F"/>
          <w:p w14:paraId="7E3C7EF4" w14:textId="77777777" w:rsidR="002526D4" w:rsidRPr="00392A3F" w:rsidRDefault="002526D4" w:rsidP="004A6D2F">
            <w:pPr>
              <w:rPr>
                <w:szCs w:val="28"/>
              </w:rPr>
            </w:pPr>
          </w:p>
          <w:p w14:paraId="4D5DCC7F" w14:textId="77777777" w:rsidR="003270FE" w:rsidRPr="002526D4" w:rsidRDefault="003270FE" w:rsidP="004A6D2F">
            <w:r w:rsidRPr="002526D4">
              <w:t>5.</w:t>
            </w:r>
          </w:p>
          <w:p w14:paraId="227B0FF6" w14:textId="77777777" w:rsidR="000E5B3F" w:rsidRPr="002526D4" w:rsidRDefault="000E5B3F" w:rsidP="004A6D2F">
            <w:pPr>
              <w:rPr>
                <w:sz w:val="32"/>
                <w:szCs w:val="32"/>
              </w:rPr>
            </w:pPr>
          </w:p>
          <w:p w14:paraId="5606D546" w14:textId="77777777" w:rsidR="00392A3F" w:rsidRPr="007279E8" w:rsidRDefault="00392A3F" w:rsidP="004A6D2F">
            <w:pPr>
              <w:rPr>
                <w:sz w:val="16"/>
                <w:szCs w:val="16"/>
              </w:rPr>
            </w:pPr>
          </w:p>
          <w:p w14:paraId="23462A7B" w14:textId="77777777" w:rsidR="00392A3F" w:rsidRPr="007279E8" w:rsidRDefault="00392A3F" w:rsidP="004A6D2F">
            <w:pPr>
              <w:rPr>
                <w:sz w:val="16"/>
                <w:szCs w:val="16"/>
              </w:rPr>
            </w:pPr>
          </w:p>
          <w:p w14:paraId="6295D4C6" w14:textId="77777777" w:rsidR="007279E8" w:rsidRDefault="007279E8" w:rsidP="004A6D2F"/>
          <w:p w14:paraId="25F7265C" w14:textId="18853576" w:rsidR="000E5B3F" w:rsidRPr="002526D4" w:rsidRDefault="000E5B3F" w:rsidP="004A6D2F"/>
          <w:p w14:paraId="15876700" w14:textId="0D44062D" w:rsidR="003270FE" w:rsidRPr="002526D4" w:rsidRDefault="000738A9" w:rsidP="004A6D2F">
            <w:r>
              <w:t>6.</w:t>
            </w:r>
          </w:p>
        </w:tc>
        <w:tc>
          <w:tcPr>
            <w:tcW w:w="8419" w:type="dxa"/>
            <w:gridSpan w:val="2"/>
            <w:tcBorders>
              <w:top w:val="single" w:sz="8" w:space="0" w:color="000000"/>
              <w:left w:val="nil"/>
              <w:bottom w:val="single" w:sz="4" w:space="0" w:color="auto"/>
              <w:right w:val="single" w:sz="8" w:space="0" w:color="000000"/>
            </w:tcBorders>
            <w:shd w:val="clear" w:color="auto" w:fill="auto"/>
          </w:tcPr>
          <w:p w14:paraId="06871ABC" w14:textId="1A5A1748" w:rsidR="00540FCD" w:rsidRPr="000738A9" w:rsidRDefault="00540FCD" w:rsidP="000738A9">
            <w:pPr>
              <w:rPr>
                <w:color w:val="auto"/>
              </w:rPr>
            </w:pPr>
            <w:bookmarkStart w:id="0" w:name="_GoBack"/>
            <w:r w:rsidRPr="000738A9">
              <w:rPr>
                <w:b/>
              </w:rPr>
              <w:lastRenderedPageBreak/>
              <w:t>Give project approval</w:t>
            </w:r>
            <w:r w:rsidR="00DE50D6" w:rsidRPr="002526D4">
              <w:t xml:space="preserve"> to the proposals</w:t>
            </w:r>
            <w:r w:rsidRPr="002526D4">
              <w:t xml:space="preserve"> to purchase </w:t>
            </w:r>
            <w:r w:rsidR="00DE50D6" w:rsidRPr="002526D4">
              <w:t>and develop accommodation</w:t>
            </w:r>
            <w:r w:rsidRPr="002526D4">
              <w:t xml:space="preserve">, as set out in this report, and within the allocated capital </w:t>
            </w:r>
            <w:r w:rsidRPr="000738A9">
              <w:rPr>
                <w:color w:val="auto"/>
              </w:rPr>
              <w:t>budgets, for the purpose of delivering mo</w:t>
            </w:r>
            <w:r w:rsidR="000738A9" w:rsidRPr="000738A9">
              <w:rPr>
                <w:color w:val="auto"/>
              </w:rPr>
              <w:t>re affordable housing in Oxford;</w:t>
            </w:r>
          </w:p>
          <w:p w14:paraId="08194676" w14:textId="4C17EED7" w:rsidR="009D2173" w:rsidRPr="000738A9" w:rsidRDefault="00CD439C" w:rsidP="000738A9">
            <w:pPr>
              <w:rPr>
                <w:color w:val="auto"/>
              </w:rPr>
            </w:pPr>
            <w:r w:rsidRPr="000738A9">
              <w:rPr>
                <w:b/>
                <w:color w:val="auto"/>
              </w:rPr>
              <w:t xml:space="preserve">Note </w:t>
            </w:r>
            <w:r w:rsidR="00522346" w:rsidRPr="000738A9">
              <w:rPr>
                <w:color w:val="auto"/>
              </w:rPr>
              <w:t>that the proposal</w:t>
            </w:r>
            <w:r w:rsidR="00540FCD" w:rsidRPr="000738A9">
              <w:rPr>
                <w:color w:val="auto"/>
              </w:rPr>
              <w:t xml:space="preserve">s </w:t>
            </w:r>
            <w:r w:rsidR="00522346" w:rsidRPr="000738A9">
              <w:rPr>
                <w:color w:val="auto"/>
              </w:rPr>
              <w:t>set out in this report, in relation to Retained Right to Buy Receipts</w:t>
            </w:r>
            <w:r w:rsidR="009D2173" w:rsidRPr="000738A9">
              <w:rPr>
                <w:color w:val="auto"/>
              </w:rPr>
              <w:t xml:space="preserve"> </w:t>
            </w:r>
            <w:r w:rsidR="00540FCD" w:rsidRPr="000738A9">
              <w:rPr>
                <w:color w:val="auto"/>
              </w:rPr>
              <w:t xml:space="preserve">have </w:t>
            </w:r>
            <w:r w:rsidR="00522346" w:rsidRPr="000738A9">
              <w:rPr>
                <w:color w:val="auto"/>
              </w:rPr>
              <w:t>informed the budget setting process and that the implications for budget</w:t>
            </w:r>
            <w:r w:rsidR="00540FCD" w:rsidRPr="000738A9">
              <w:rPr>
                <w:color w:val="auto"/>
              </w:rPr>
              <w:t>s</w:t>
            </w:r>
            <w:r w:rsidR="00522346" w:rsidRPr="000738A9">
              <w:rPr>
                <w:color w:val="auto"/>
              </w:rPr>
              <w:t xml:space="preserve"> are </w:t>
            </w:r>
            <w:r w:rsidR="009D2173" w:rsidRPr="000738A9">
              <w:rPr>
                <w:color w:val="auto"/>
              </w:rPr>
              <w:t xml:space="preserve">to be </w:t>
            </w:r>
            <w:r w:rsidR="004637F9" w:rsidRPr="000738A9">
              <w:rPr>
                <w:color w:val="auto"/>
              </w:rPr>
              <w:t>included</w:t>
            </w:r>
            <w:r w:rsidR="00522346" w:rsidRPr="000738A9">
              <w:rPr>
                <w:color w:val="auto"/>
              </w:rPr>
              <w:t xml:space="preserve"> within the </w:t>
            </w:r>
            <w:r w:rsidR="00540FCD" w:rsidRPr="000738A9">
              <w:rPr>
                <w:color w:val="auto"/>
              </w:rPr>
              <w:t>20</w:t>
            </w:r>
            <w:r w:rsidR="009D2173" w:rsidRPr="000738A9">
              <w:rPr>
                <w:color w:val="auto"/>
              </w:rPr>
              <w:t>22/23</w:t>
            </w:r>
            <w:r w:rsidR="00540FCD" w:rsidRPr="000738A9">
              <w:rPr>
                <w:color w:val="auto"/>
              </w:rPr>
              <w:t xml:space="preserve"> </w:t>
            </w:r>
            <w:r w:rsidR="00522346" w:rsidRPr="000738A9">
              <w:rPr>
                <w:color w:val="auto"/>
              </w:rPr>
              <w:t>consultation budget</w:t>
            </w:r>
            <w:r w:rsidR="000738A9" w:rsidRPr="000738A9">
              <w:rPr>
                <w:color w:val="auto"/>
              </w:rPr>
              <w:t>;</w:t>
            </w:r>
          </w:p>
          <w:p w14:paraId="4CB0DE21" w14:textId="6DC448C0" w:rsidR="009D2173" w:rsidRPr="000738A9" w:rsidRDefault="00244B19" w:rsidP="000738A9">
            <w:pPr>
              <w:rPr>
                <w:color w:val="auto"/>
              </w:rPr>
            </w:pPr>
            <w:r w:rsidRPr="000738A9">
              <w:rPr>
                <w:rFonts w:cs="Arial"/>
                <w:b/>
                <w:color w:val="auto"/>
              </w:rPr>
              <w:t xml:space="preserve">Recommend </w:t>
            </w:r>
            <w:r w:rsidRPr="000738A9">
              <w:rPr>
                <w:rFonts w:cs="Arial"/>
                <w:color w:val="auto"/>
              </w:rPr>
              <w:t xml:space="preserve">to Council that a capital budget </w:t>
            </w:r>
            <w:r w:rsidR="009D2173" w:rsidRPr="000738A9">
              <w:rPr>
                <w:rFonts w:cs="Arial"/>
                <w:color w:val="auto"/>
              </w:rPr>
              <w:t xml:space="preserve">in the General Fund </w:t>
            </w:r>
            <w:r w:rsidRPr="000738A9">
              <w:rPr>
                <w:rFonts w:cs="Arial"/>
                <w:color w:val="auto"/>
              </w:rPr>
              <w:t xml:space="preserve">for </w:t>
            </w:r>
            <w:r w:rsidR="003270FE" w:rsidRPr="000738A9">
              <w:rPr>
                <w:rFonts w:cs="Arial"/>
                <w:color w:val="auto"/>
              </w:rPr>
              <w:t>£</w:t>
            </w:r>
            <w:r w:rsidR="009D2173" w:rsidRPr="000738A9">
              <w:rPr>
                <w:rFonts w:cs="Arial"/>
                <w:color w:val="auto"/>
              </w:rPr>
              <w:t>1,650,000</w:t>
            </w:r>
            <w:r w:rsidR="003270FE" w:rsidRPr="000738A9">
              <w:rPr>
                <w:rFonts w:cs="Arial"/>
                <w:color w:val="auto"/>
              </w:rPr>
              <w:t xml:space="preserve"> of expenditure</w:t>
            </w:r>
            <w:r w:rsidR="003270FE" w:rsidRPr="000738A9">
              <w:rPr>
                <w:color w:val="auto"/>
              </w:rPr>
              <w:t xml:space="preserve">, subsidised using </w:t>
            </w:r>
            <w:r w:rsidR="002526D4" w:rsidRPr="000738A9">
              <w:rPr>
                <w:color w:val="auto"/>
              </w:rPr>
              <w:t xml:space="preserve">£660,000 of </w:t>
            </w:r>
            <w:r w:rsidR="00937A1C" w:rsidRPr="000738A9">
              <w:rPr>
                <w:color w:val="auto"/>
              </w:rPr>
              <w:t>Retained Right to Buy Receipts</w:t>
            </w:r>
            <w:r w:rsidR="003270FE" w:rsidRPr="000738A9">
              <w:rPr>
                <w:color w:val="auto"/>
              </w:rPr>
              <w:t>, is approved in 20</w:t>
            </w:r>
            <w:r w:rsidR="009D2173" w:rsidRPr="000738A9">
              <w:rPr>
                <w:color w:val="auto"/>
              </w:rPr>
              <w:t>21/22</w:t>
            </w:r>
            <w:r w:rsidR="003270FE" w:rsidRPr="000738A9">
              <w:rPr>
                <w:color w:val="auto"/>
              </w:rPr>
              <w:t xml:space="preserve">, to enable </w:t>
            </w:r>
            <w:r w:rsidR="009D2173" w:rsidRPr="000738A9">
              <w:rPr>
                <w:color w:val="auto"/>
              </w:rPr>
              <w:t>the acquisition a</w:t>
            </w:r>
            <w:r w:rsidR="000738A9" w:rsidRPr="000738A9">
              <w:rPr>
                <w:color w:val="auto"/>
              </w:rPr>
              <w:t xml:space="preserve">nd refurbishment of </w:t>
            </w:r>
            <w:proofErr w:type="spellStart"/>
            <w:r w:rsidR="000738A9" w:rsidRPr="000738A9">
              <w:rPr>
                <w:color w:val="auto"/>
              </w:rPr>
              <w:t>Roken</w:t>
            </w:r>
            <w:proofErr w:type="spellEnd"/>
            <w:r w:rsidR="000738A9" w:rsidRPr="000738A9">
              <w:rPr>
                <w:color w:val="auto"/>
              </w:rPr>
              <w:t xml:space="preserve"> House;</w:t>
            </w:r>
          </w:p>
          <w:p w14:paraId="384679D8" w14:textId="7A819890" w:rsidR="009D2173" w:rsidRPr="000738A9" w:rsidRDefault="009D2173" w:rsidP="000738A9">
            <w:pPr>
              <w:rPr>
                <w:color w:val="auto"/>
              </w:rPr>
            </w:pPr>
            <w:r w:rsidRPr="000738A9">
              <w:rPr>
                <w:b/>
                <w:color w:val="auto"/>
              </w:rPr>
              <w:t xml:space="preserve">Recommend </w:t>
            </w:r>
            <w:r w:rsidRPr="000738A9">
              <w:rPr>
                <w:color w:val="auto"/>
              </w:rPr>
              <w:t xml:space="preserve">to Council that a capital budget in the </w:t>
            </w:r>
            <w:r w:rsidR="00937A1C" w:rsidRPr="000738A9">
              <w:rPr>
                <w:color w:val="auto"/>
              </w:rPr>
              <w:t>Housing Revenue Account</w:t>
            </w:r>
            <w:r w:rsidR="00744F52" w:rsidRPr="000738A9">
              <w:rPr>
                <w:color w:val="auto"/>
              </w:rPr>
              <w:t xml:space="preserve"> </w:t>
            </w:r>
            <w:r w:rsidRPr="000738A9">
              <w:rPr>
                <w:color w:val="auto"/>
              </w:rPr>
              <w:t>for £</w:t>
            </w:r>
            <w:r w:rsidR="00744F52" w:rsidRPr="000738A9">
              <w:rPr>
                <w:color w:val="auto"/>
              </w:rPr>
              <w:t>2</w:t>
            </w:r>
            <w:r w:rsidRPr="000738A9">
              <w:rPr>
                <w:color w:val="auto"/>
              </w:rPr>
              <w:t xml:space="preserve">m expenditure, subsidised using </w:t>
            </w:r>
            <w:r w:rsidR="002526D4" w:rsidRPr="000738A9">
              <w:rPr>
                <w:color w:val="auto"/>
              </w:rPr>
              <w:t>£</w:t>
            </w:r>
            <w:r w:rsidR="00744F52" w:rsidRPr="000738A9">
              <w:rPr>
                <w:color w:val="auto"/>
              </w:rPr>
              <w:t>8</w:t>
            </w:r>
            <w:r w:rsidR="002526D4" w:rsidRPr="000738A9">
              <w:rPr>
                <w:color w:val="auto"/>
              </w:rPr>
              <w:t xml:space="preserve">00,000 of </w:t>
            </w:r>
            <w:r w:rsidR="00937A1C" w:rsidRPr="000738A9">
              <w:rPr>
                <w:color w:val="auto"/>
              </w:rPr>
              <w:t>Retained Right to Buy Receipts</w:t>
            </w:r>
            <w:r w:rsidRPr="000738A9">
              <w:rPr>
                <w:color w:val="auto"/>
              </w:rPr>
              <w:t>, is approved in 2021/22, to enable further property acquisition activity in the last two quarters of 2021/22</w:t>
            </w:r>
            <w:r w:rsidR="000738A9" w:rsidRPr="000738A9">
              <w:rPr>
                <w:color w:val="auto"/>
              </w:rPr>
              <w:t>;</w:t>
            </w:r>
          </w:p>
          <w:p w14:paraId="4960BD0B" w14:textId="1F412C49" w:rsidR="000738A9" w:rsidRPr="000738A9" w:rsidRDefault="003270FE" w:rsidP="000738A9">
            <w:pPr>
              <w:rPr>
                <w:rFonts w:cs="Arial"/>
                <w:color w:val="auto"/>
                <w:shd w:val="clear" w:color="auto" w:fill="FFFFFF"/>
              </w:rPr>
            </w:pPr>
            <w:r w:rsidRPr="002526D4">
              <w:rPr>
                <w:rStyle w:val="Firstpagetablebold"/>
              </w:rPr>
              <w:t xml:space="preserve">Delegate authority </w:t>
            </w:r>
            <w:r w:rsidRPr="000738A9">
              <w:rPr>
                <w:rStyle w:val="Firstpagetablebold"/>
                <w:b w:val="0"/>
              </w:rPr>
              <w:t xml:space="preserve">to the </w:t>
            </w:r>
            <w:r w:rsidR="00937A1C" w:rsidRPr="000738A9">
              <w:rPr>
                <w:rStyle w:val="Firstpagetablebold"/>
                <w:b w:val="0"/>
              </w:rPr>
              <w:t>Executive Director for Communities and People</w:t>
            </w:r>
            <w:r w:rsidRPr="000738A9">
              <w:rPr>
                <w:rStyle w:val="Firstpagetablebold"/>
                <w:b w:val="0"/>
              </w:rPr>
              <w:t xml:space="preserve">, </w:t>
            </w:r>
            <w:r w:rsidRPr="000738A9">
              <w:rPr>
                <w:color w:val="auto"/>
              </w:rPr>
              <w:t xml:space="preserve">in consultation with </w:t>
            </w:r>
            <w:r w:rsidR="004420F8" w:rsidRPr="000738A9">
              <w:rPr>
                <w:color w:val="auto"/>
              </w:rPr>
              <w:t xml:space="preserve">the </w:t>
            </w:r>
            <w:r w:rsidR="00DE50D6" w:rsidRPr="002526D4">
              <w:t>Cabinet Member for Affordable Housing, Housing Security and Housing the Homeless</w:t>
            </w:r>
            <w:r w:rsidRPr="000738A9">
              <w:rPr>
                <w:color w:val="auto"/>
              </w:rPr>
              <w:t>; the Head of Financial Services</w:t>
            </w:r>
            <w:r w:rsidR="00392A3F" w:rsidRPr="000738A9">
              <w:rPr>
                <w:color w:val="auto"/>
              </w:rPr>
              <w:t>;</w:t>
            </w:r>
            <w:r w:rsidRPr="000738A9">
              <w:rPr>
                <w:color w:val="auto"/>
              </w:rPr>
              <w:t xml:space="preserve"> and the </w:t>
            </w:r>
            <w:r w:rsidR="00392A3F" w:rsidRPr="000738A9">
              <w:rPr>
                <w:color w:val="auto"/>
              </w:rPr>
              <w:t>Head of Law and Governance</w:t>
            </w:r>
            <w:r w:rsidRPr="000738A9">
              <w:rPr>
                <w:color w:val="auto"/>
              </w:rPr>
              <w:t>,</w:t>
            </w:r>
            <w:r w:rsidRPr="000738A9">
              <w:rPr>
                <w:rStyle w:val="Firstpagetablebold"/>
                <w:b w:val="0"/>
                <w:color w:val="auto"/>
              </w:rPr>
              <w:t xml:space="preserve"> to enter into agreement for the award of grant, contractual arrangement and/or spend, </w:t>
            </w:r>
            <w:r w:rsidRPr="000738A9">
              <w:rPr>
                <w:rFonts w:cs="Arial"/>
                <w:color w:val="auto"/>
              </w:rPr>
              <w:t xml:space="preserve">for the provision of additional </w:t>
            </w:r>
            <w:r w:rsidR="007279E8" w:rsidRPr="000738A9">
              <w:rPr>
                <w:rFonts w:cs="Arial"/>
                <w:color w:val="auto"/>
              </w:rPr>
              <w:lastRenderedPageBreak/>
              <w:t>affordable housing</w:t>
            </w:r>
            <w:r w:rsidRPr="000738A9">
              <w:rPr>
                <w:rFonts w:cs="Arial"/>
                <w:color w:val="auto"/>
              </w:rPr>
              <w:t xml:space="preserve">, using </w:t>
            </w:r>
            <w:r w:rsidRPr="002526D4">
              <w:t>Retained Right to Buy Receipts</w:t>
            </w:r>
            <w:r w:rsidR="007279E8">
              <w:t>,</w:t>
            </w:r>
            <w:r w:rsidR="007279E8" w:rsidRPr="000738A9">
              <w:rPr>
                <w:rFonts w:cs="Arial"/>
                <w:color w:val="auto"/>
                <w:shd w:val="clear" w:color="auto" w:fill="FFFFFF"/>
              </w:rPr>
              <w:t xml:space="preserve"> within this project approval</w:t>
            </w:r>
            <w:r w:rsidR="000738A9" w:rsidRPr="000738A9">
              <w:rPr>
                <w:rFonts w:cs="Arial"/>
                <w:color w:val="auto"/>
                <w:shd w:val="clear" w:color="auto" w:fill="FFFFFF"/>
              </w:rPr>
              <w:t>; and</w:t>
            </w:r>
          </w:p>
          <w:p w14:paraId="2FC7B2A1" w14:textId="683B9579" w:rsidR="003270FE" w:rsidRPr="002526D4" w:rsidRDefault="003270FE" w:rsidP="000738A9">
            <w:r w:rsidRPr="000738A9">
              <w:rPr>
                <w:rFonts w:cs="Arial"/>
                <w:b/>
                <w:bCs/>
                <w:color w:val="auto"/>
                <w:shd w:val="clear" w:color="auto" w:fill="FFFFFF"/>
              </w:rPr>
              <w:t>Delegate authority</w:t>
            </w:r>
            <w:r w:rsidRPr="000738A9">
              <w:rPr>
                <w:rFonts w:cs="Arial"/>
                <w:color w:val="auto"/>
                <w:shd w:val="clear" w:color="auto" w:fill="FFFFFF"/>
              </w:rPr>
              <w:t xml:space="preserve"> to the Chief Executive, </w:t>
            </w:r>
            <w:r w:rsidR="001A054D" w:rsidRPr="000738A9">
              <w:rPr>
                <w:rFonts w:cs="Arial"/>
                <w:color w:val="auto"/>
                <w:shd w:val="clear" w:color="auto" w:fill="FFFFFF"/>
              </w:rPr>
              <w:t xml:space="preserve">in consultation with the Cabinet </w:t>
            </w:r>
            <w:r w:rsidRPr="000738A9">
              <w:rPr>
                <w:rFonts w:cs="Arial"/>
                <w:color w:val="auto"/>
                <w:shd w:val="clear" w:color="auto" w:fill="FFFFFF"/>
              </w:rPr>
              <w:t xml:space="preserve">Member for Finance and </w:t>
            </w:r>
            <w:r w:rsidR="001A054D" w:rsidRPr="000738A9">
              <w:rPr>
                <w:rFonts w:cs="Arial"/>
                <w:color w:val="auto"/>
                <w:shd w:val="clear" w:color="auto" w:fill="FFFFFF"/>
              </w:rPr>
              <w:t>Asset Management</w:t>
            </w:r>
            <w:r w:rsidR="00392A3F" w:rsidRPr="000738A9">
              <w:rPr>
                <w:rFonts w:cs="Arial"/>
                <w:color w:val="auto"/>
                <w:shd w:val="clear" w:color="auto" w:fill="FFFFFF"/>
              </w:rPr>
              <w:t>;</w:t>
            </w:r>
            <w:r w:rsidR="001A054D" w:rsidRPr="000738A9">
              <w:rPr>
                <w:rFonts w:cs="Arial"/>
                <w:color w:val="auto"/>
                <w:shd w:val="clear" w:color="auto" w:fill="FFFFFF"/>
              </w:rPr>
              <w:t xml:space="preserve"> </w:t>
            </w:r>
            <w:r w:rsidR="00392A3F" w:rsidRPr="000738A9">
              <w:rPr>
                <w:rFonts w:cs="Arial"/>
                <w:color w:val="auto"/>
                <w:shd w:val="clear" w:color="auto" w:fill="FFFFFF"/>
              </w:rPr>
              <w:t xml:space="preserve">the </w:t>
            </w:r>
            <w:r w:rsidR="00DE50D6" w:rsidRPr="002526D4">
              <w:t>Cabinet Member for Affordable Housing, Housing Security and Housing the Homeless</w:t>
            </w:r>
            <w:r w:rsidR="00392A3F" w:rsidRPr="000738A9">
              <w:rPr>
                <w:rFonts w:cs="Arial"/>
                <w:color w:val="auto"/>
                <w:shd w:val="clear" w:color="auto" w:fill="FFFFFF"/>
              </w:rPr>
              <w:t>; the Head of Financial Services; and the Head of Law and Governance,</w:t>
            </w:r>
            <w:r w:rsidRPr="000738A9">
              <w:rPr>
                <w:rFonts w:cs="Arial"/>
                <w:color w:val="auto"/>
                <w:shd w:val="clear" w:color="auto" w:fill="FFFFFF"/>
              </w:rPr>
              <w:t xml:space="preserve"> to approve any property </w:t>
            </w:r>
            <w:r w:rsidR="00DE50D6" w:rsidRPr="000738A9">
              <w:rPr>
                <w:rFonts w:cs="Arial"/>
                <w:color w:val="auto"/>
                <w:shd w:val="clear" w:color="auto" w:fill="FFFFFF"/>
              </w:rPr>
              <w:t xml:space="preserve">purchase </w:t>
            </w:r>
            <w:r w:rsidRPr="000738A9">
              <w:rPr>
                <w:rFonts w:cs="Arial"/>
                <w:color w:val="auto"/>
                <w:shd w:val="clear" w:color="auto" w:fill="FFFFFF"/>
              </w:rPr>
              <w:t xml:space="preserve">or development </w:t>
            </w:r>
            <w:r w:rsidR="00DE50D6" w:rsidRPr="000738A9">
              <w:rPr>
                <w:rFonts w:cs="Arial"/>
                <w:color w:val="auto"/>
                <w:shd w:val="clear" w:color="auto" w:fill="FFFFFF"/>
              </w:rPr>
              <w:t xml:space="preserve">delivery </w:t>
            </w:r>
            <w:r w:rsidRPr="000738A9">
              <w:rPr>
                <w:rFonts w:cs="Arial"/>
                <w:color w:val="auto"/>
                <w:shd w:val="clear" w:color="auto" w:fill="FFFFFF"/>
              </w:rPr>
              <w:t>over £500,000 for affordable housing, within this project approval.</w:t>
            </w:r>
            <w:bookmarkEnd w:id="0"/>
          </w:p>
        </w:tc>
      </w:tr>
    </w:tbl>
    <w:p w14:paraId="66E964D1" w14:textId="77777777" w:rsidR="003A5AE8" w:rsidRDefault="003A5AE8"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2B67C56"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2CD8D67" w14:textId="77777777" w:rsidR="00966D42" w:rsidRPr="00975B07" w:rsidRDefault="00966D42" w:rsidP="00263EA3">
            <w:pPr>
              <w:jc w:val="center"/>
            </w:pPr>
            <w:r w:rsidRPr="00745BF0">
              <w:rPr>
                <w:rStyle w:val="Firstpagetablebold"/>
              </w:rPr>
              <w:t>Appendices</w:t>
            </w:r>
          </w:p>
        </w:tc>
      </w:tr>
      <w:tr w:rsidR="00ED5860" w:rsidRPr="00975B07" w14:paraId="3B868CA2" w14:textId="77777777" w:rsidTr="0070493D">
        <w:tc>
          <w:tcPr>
            <w:tcW w:w="2438" w:type="dxa"/>
            <w:tcBorders>
              <w:top w:val="nil"/>
              <w:left w:val="single" w:sz="8" w:space="0" w:color="000000"/>
              <w:bottom w:val="single" w:sz="8" w:space="0" w:color="000000"/>
              <w:right w:val="nil"/>
            </w:tcBorders>
            <w:shd w:val="clear" w:color="auto" w:fill="auto"/>
          </w:tcPr>
          <w:p w14:paraId="6DCCD9DD" w14:textId="77777777" w:rsidR="00ED5860" w:rsidRDefault="0030208D" w:rsidP="004A6D2F">
            <w:r w:rsidRPr="00975B07">
              <w:t xml:space="preserve">Appendix </w:t>
            </w:r>
            <w:r w:rsidR="008B74E8">
              <w:t>1</w:t>
            </w:r>
          </w:p>
          <w:p w14:paraId="66CEDF54" w14:textId="77777777" w:rsidR="00DF4510" w:rsidRDefault="00FC6127" w:rsidP="000E26C8">
            <w:r>
              <w:t xml:space="preserve">Appendix </w:t>
            </w:r>
            <w:r w:rsidR="000E26C8">
              <w:t>2</w:t>
            </w:r>
          </w:p>
          <w:p w14:paraId="295A9706" w14:textId="77777777" w:rsidR="00D66D4B" w:rsidRPr="00975B07" w:rsidRDefault="00D66D4B" w:rsidP="000E26C8">
            <w:r>
              <w:t>Appendix 3</w:t>
            </w:r>
          </w:p>
        </w:tc>
        <w:tc>
          <w:tcPr>
            <w:tcW w:w="6406" w:type="dxa"/>
            <w:tcBorders>
              <w:top w:val="nil"/>
              <w:left w:val="nil"/>
              <w:bottom w:val="single" w:sz="8" w:space="0" w:color="000000"/>
              <w:right w:val="single" w:sz="8" w:space="0" w:color="000000"/>
            </w:tcBorders>
          </w:tcPr>
          <w:p w14:paraId="13607E2D" w14:textId="77777777" w:rsidR="00D66D4B" w:rsidRDefault="00D66D4B" w:rsidP="000E26C8">
            <w:r>
              <w:t>Summary of use of RRTBRs to date</w:t>
            </w:r>
          </w:p>
          <w:p w14:paraId="77D53247" w14:textId="77777777" w:rsidR="000E26C8" w:rsidRDefault="000E26C8" w:rsidP="000E26C8">
            <w:r>
              <w:t xml:space="preserve">Risk Register </w:t>
            </w:r>
          </w:p>
          <w:p w14:paraId="48F6B4E5" w14:textId="77777777" w:rsidR="00DF4510" w:rsidRPr="00965FD0" w:rsidRDefault="000E26C8" w:rsidP="000E26C8">
            <w:r>
              <w:t>Equality Impact Assessment</w:t>
            </w:r>
          </w:p>
        </w:tc>
      </w:tr>
    </w:tbl>
    <w:p w14:paraId="55D887C0" w14:textId="77777777" w:rsidR="00392A3F" w:rsidRDefault="00392A3F" w:rsidP="004A6D2F">
      <w:pPr>
        <w:pStyle w:val="Heading1"/>
      </w:pPr>
    </w:p>
    <w:p w14:paraId="003E85A8"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799A4044" w14:textId="3C1445F2" w:rsidR="00DF6CF8" w:rsidRPr="009125C0" w:rsidRDefault="009125C0" w:rsidP="005B552F">
      <w:pPr>
        <w:pStyle w:val="ListParagraph"/>
        <w:rPr>
          <w:b/>
        </w:rPr>
      </w:pPr>
      <w:r>
        <w:t>The Council continues to develop a programme of affordable housing supply through multiple work streams, including the delivery of units through Oxford City Homes Ltd</w:t>
      </w:r>
      <w:r w:rsidR="002F2FF3">
        <w:t xml:space="preserve"> (OCHL)</w:t>
      </w:r>
      <w:r w:rsidR="00937A1C">
        <w:t xml:space="preserve">; delivery </w:t>
      </w:r>
      <w:r w:rsidR="00F4106C">
        <w:t xml:space="preserve">directly </w:t>
      </w:r>
      <w:r w:rsidR="00327347">
        <w:t xml:space="preserve">by </w:t>
      </w:r>
      <w:r w:rsidR="00F4106C">
        <w:t>the Council</w:t>
      </w:r>
      <w:r>
        <w:t xml:space="preserve">; </w:t>
      </w:r>
      <w:r w:rsidR="002D4E97">
        <w:t>joint v</w:t>
      </w:r>
      <w:r>
        <w:t xml:space="preserve">entures, such as Barton Park; regeneration schemes; </w:t>
      </w:r>
      <w:r w:rsidR="00F4106C">
        <w:t>a</w:t>
      </w:r>
      <w:r w:rsidR="00327347">
        <w:t>n a</w:t>
      </w:r>
      <w:r w:rsidR="00F4106C">
        <w:t>cqu</w:t>
      </w:r>
      <w:r w:rsidR="00327347">
        <w:t>isition programme</w:t>
      </w:r>
      <w:r w:rsidR="00F4106C">
        <w:t xml:space="preserve">; </w:t>
      </w:r>
      <w:r>
        <w:t>and enabl</w:t>
      </w:r>
      <w:r w:rsidR="00F4106C">
        <w:t>ing</w:t>
      </w:r>
      <w:r>
        <w:t xml:space="preserve"> </w:t>
      </w:r>
      <w:r w:rsidR="00F4106C">
        <w:t xml:space="preserve">work with </w:t>
      </w:r>
      <w:r>
        <w:t>Registered Provider</w:t>
      </w:r>
      <w:r w:rsidR="00F4106C">
        <w:t>s, C</w:t>
      </w:r>
      <w:r w:rsidR="00327347">
        <w:t>ommunity-L</w:t>
      </w:r>
      <w:r>
        <w:t xml:space="preserve">ed </w:t>
      </w:r>
      <w:r w:rsidR="00327347">
        <w:t>H</w:t>
      </w:r>
      <w:r w:rsidR="00F4106C">
        <w:t xml:space="preserve">ousing </w:t>
      </w:r>
      <w:r>
        <w:t>organisations</w:t>
      </w:r>
      <w:r w:rsidR="002F2FF3">
        <w:t>, and other</w:t>
      </w:r>
      <w:r w:rsidR="00F4106C">
        <w:t xml:space="preserve"> partner</w:t>
      </w:r>
      <w:r w:rsidR="002F2FF3">
        <w:t>s</w:t>
      </w:r>
      <w:r>
        <w:t xml:space="preserve">.  </w:t>
      </w:r>
    </w:p>
    <w:p w14:paraId="2DA0606D" w14:textId="77777777" w:rsidR="002F2FF3" w:rsidRPr="002F2FF3" w:rsidRDefault="002F2FF3" w:rsidP="005B552F">
      <w:pPr>
        <w:pStyle w:val="ListParagraph"/>
        <w:rPr>
          <w:b/>
        </w:rPr>
      </w:pPr>
      <w:r>
        <w:t>Officers continue to review opportunities to bring forward the development of further affordable homes to increase the supply available to help meet Oxford’s housing needs.  This might take the form of developing more new homes; acquiring property to use as affordable housing; or switching tenures to improve affordability and access to these homes.</w:t>
      </w:r>
    </w:p>
    <w:p w14:paraId="7C9FF0DD" w14:textId="77777777" w:rsidR="0027105A" w:rsidRDefault="0027105A" w:rsidP="00392A3F">
      <w:pPr>
        <w:pStyle w:val="ListParagraph"/>
        <w:spacing w:after="240"/>
        <w:ind w:left="425" w:hanging="425"/>
        <w:rPr>
          <w:b/>
        </w:rPr>
      </w:pPr>
      <w:r>
        <w:t>This report identifie</w:t>
      </w:r>
      <w:r w:rsidR="002D4E97">
        <w:t>s</w:t>
      </w:r>
      <w:r>
        <w:t xml:space="preserve"> </w:t>
      </w:r>
      <w:r w:rsidR="00F4106C">
        <w:t xml:space="preserve">further opportunities for </w:t>
      </w:r>
      <w:r w:rsidR="000E4917">
        <w:t xml:space="preserve">the delivery of more additional affordable homes for rent, </w:t>
      </w:r>
      <w:r>
        <w:t>support</w:t>
      </w:r>
      <w:r w:rsidR="000E4917">
        <w:t>ing</w:t>
      </w:r>
      <w:r>
        <w:t xml:space="preserve"> </w:t>
      </w:r>
      <w:r w:rsidR="00F4106C">
        <w:t xml:space="preserve">these initiatives with the use </w:t>
      </w:r>
      <w:r w:rsidR="00327347">
        <w:t>Retained Right to Buy Receipts</w:t>
      </w:r>
      <w:r w:rsidR="00F4106C" w:rsidRPr="008108ED">
        <w:t xml:space="preserve"> (RRTBR</w:t>
      </w:r>
      <w:r w:rsidR="00F4106C">
        <w:t>s</w:t>
      </w:r>
      <w:r w:rsidR="00F4106C" w:rsidRPr="008108ED">
        <w:t>)</w:t>
      </w:r>
      <w:r w:rsidR="00F4106C">
        <w:t xml:space="preserve"> funding.</w:t>
      </w:r>
    </w:p>
    <w:p w14:paraId="4F3D9892" w14:textId="77777777" w:rsidR="00446F1C" w:rsidRDefault="00067B3A" w:rsidP="00446F1C">
      <w:pPr>
        <w:rPr>
          <w:b/>
        </w:rPr>
      </w:pPr>
      <w:r>
        <w:rPr>
          <w:b/>
        </w:rPr>
        <w:t>Retained Right to Buy Receipts</w:t>
      </w:r>
    </w:p>
    <w:p w14:paraId="0912F5CE" w14:textId="41E810E0" w:rsidR="00067B3A" w:rsidRPr="00067B3A" w:rsidRDefault="00067B3A" w:rsidP="00067B3A">
      <w:pPr>
        <w:pStyle w:val="ListParagraph"/>
        <w:ind w:left="360" w:hanging="360"/>
        <w:rPr>
          <w:b/>
        </w:rPr>
      </w:pPr>
      <w:r w:rsidRPr="008108ED">
        <w:t xml:space="preserve">Retained Right to Buy Receipts </w:t>
      </w:r>
      <w:r>
        <w:t xml:space="preserve">are the receipts that the Council </w:t>
      </w:r>
      <w:r w:rsidR="00C655F2">
        <w:t>is</w:t>
      </w:r>
      <w:r>
        <w:t xml:space="preserve"> able to retain</w:t>
      </w:r>
      <w:r w:rsidR="00327347">
        <w:t>,</w:t>
      </w:r>
      <w:r>
        <w:t xml:space="preserve"> </w:t>
      </w:r>
      <w:r w:rsidR="00C655F2">
        <w:t>to be re</w:t>
      </w:r>
      <w:r w:rsidR="00693D01">
        <w:t xml:space="preserve">cycled into new replacement affordable homes in accordance with the </w:t>
      </w:r>
      <w:r w:rsidR="00C655F2">
        <w:t>agreement signed in 2012 between the Council and</w:t>
      </w:r>
      <w:r w:rsidR="00937A1C">
        <w:t xml:space="preserve"> the</w:t>
      </w:r>
      <w:r w:rsidR="00C655F2">
        <w:t xml:space="preserve"> </w:t>
      </w:r>
      <w:r w:rsidR="00693D01">
        <w:t>Secretary of State</w:t>
      </w:r>
      <w:r w:rsidR="00C655F2">
        <w:t xml:space="preserve"> for Housing, following agreement for the self-financing of the </w:t>
      </w:r>
      <w:r w:rsidR="00937A1C">
        <w:rPr>
          <w:color w:val="auto"/>
        </w:rPr>
        <w:t>Housing Revenue Account</w:t>
      </w:r>
      <w:r w:rsidR="00937A1C">
        <w:t xml:space="preserve"> (</w:t>
      </w:r>
      <w:r w:rsidR="00C655F2">
        <w:t>HRA</w:t>
      </w:r>
      <w:r w:rsidR="00937A1C">
        <w:t>)</w:t>
      </w:r>
      <w:r>
        <w:t xml:space="preserve">.  Receipts that </w:t>
      </w:r>
      <w:r w:rsidR="00327347">
        <w:t>were</w:t>
      </w:r>
      <w:r>
        <w:t xml:space="preserve"> unspent after three years from the time of the sale </w:t>
      </w:r>
      <w:r w:rsidR="00327347">
        <w:t xml:space="preserve">had to be </w:t>
      </w:r>
      <w:r>
        <w:t>returned to the Government, with interest (4% over base rate).  This receipt/</w:t>
      </w:r>
      <w:r w:rsidR="00937A1C">
        <w:t xml:space="preserve"> </w:t>
      </w:r>
      <w:r>
        <w:t xml:space="preserve">spend profile </w:t>
      </w:r>
      <w:r w:rsidR="00327347">
        <w:t xml:space="preserve">was </w:t>
      </w:r>
      <w:r>
        <w:t xml:space="preserve">monitored quarterly.  </w:t>
      </w:r>
    </w:p>
    <w:p w14:paraId="376C8E5E" w14:textId="77777777" w:rsidR="005B6222" w:rsidRPr="005B6222" w:rsidRDefault="00067B3A" w:rsidP="00F4106C">
      <w:pPr>
        <w:pStyle w:val="ListParagraph"/>
        <w:ind w:left="360" w:hanging="360"/>
        <w:rPr>
          <w:b/>
        </w:rPr>
      </w:pPr>
      <w:r>
        <w:t xml:space="preserve">Spend </w:t>
      </w:r>
      <w:r w:rsidR="00327347">
        <w:t>had to b</w:t>
      </w:r>
      <w:r>
        <w:t xml:space="preserve">e on new </w:t>
      </w:r>
      <w:r w:rsidR="0098401D">
        <w:t xml:space="preserve">rented </w:t>
      </w:r>
      <w:r>
        <w:t>social housing supply</w:t>
      </w:r>
      <w:r w:rsidR="00327347">
        <w:t xml:space="preserve"> a</w:t>
      </w:r>
      <w:r>
        <w:t>t up to 30% of the qualifying spend (i.e. £1m spend c</w:t>
      </w:r>
      <w:r w:rsidR="00327347">
        <w:t>ould</w:t>
      </w:r>
      <w:r>
        <w:t xml:space="preserve"> be financed by using up to £300,000 of RRTBRs).  </w:t>
      </w:r>
      <w:r w:rsidR="00327347">
        <w:t>A</w:t>
      </w:r>
      <w:r>
        <w:t xml:space="preserve">ctivity </w:t>
      </w:r>
      <w:r w:rsidR="00327347">
        <w:t xml:space="preserve">within </w:t>
      </w:r>
      <w:r w:rsidR="00C655F2">
        <w:t>OCHL</w:t>
      </w:r>
      <w:r>
        <w:t xml:space="preserve"> </w:t>
      </w:r>
      <w:r w:rsidR="00693D01">
        <w:t xml:space="preserve">is prohibited </w:t>
      </w:r>
      <w:r>
        <w:t>as suitable expenditure</w:t>
      </w:r>
      <w:r w:rsidR="005B6222">
        <w:t>, as is combining this with any other grant funding</w:t>
      </w:r>
      <w:r>
        <w:t xml:space="preserve">.   </w:t>
      </w:r>
    </w:p>
    <w:p w14:paraId="5A9E7E45" w14:textId="2E1DE425" w:rsidR="00F4106C" w:rsidRPr="00F4106C" w:rsidRDefault="00067B3A" w:rsidP="00F4106C">
      <w:pPr>
        <w:pStyle w:val="ListParagraph"/>
        <w:ind w:left="360" w:hanging="360"/>
        <w:rPr>
          <w:b/>
        </w:rPr>
      </w:pPr>
      <w:r>
        <w:t xml:space="preserve">The Council originally planned to use these funds as part of the financing for Barton Park, but when Government </w:t>
      </w:r>
      <w:r w:rsidR="00693D01">
        <w:t xml:space="preserve">introduced a raft of financially negative proposals </w:t>
      </w:r>
      <w:r w:rsidR="00693D01">
        <w:lastRenderedPageBreak/>
        <w:t>planned for the HRA in 2015</w:t>
      </w:r>
      <w:r w:rsidR="00327347">
        <w:t>,</w:t>
      </w:r>
      <w:r w:rsidR="00693D01">
        <w:t xml:space="preserve"> a review of HRA spending </w:t>
      </w:r>
      <w:r w:rsidR="00327347">
        <w:t xml:space="preserve">concluded that </w:t>
      </w:r>
      <w:r w:rsidR="00693D01">
        <w:t>without the removal of the debt cap,</w:t>
      </w:r>
      <w:r>
        <w:t xml:space="preserve"> </w:t>
      </w:r>
      <w:r w:rsidR="00693D01">
        <w:t xml:space="preserve">it was </w:t>
      </w:r>
      <w:r>
        <w:t xml:space="preserve">unviable </w:t>
      </w:r>
      <w:r w:rsidR="00327347">
        <w:t>in</w:t>
      </w:r>
      <w:r w:rsidR="00693D01">
        <w:t xml:space="preserve"> </w:t>
      </w:r>
      <w:r>
        <w:t>the HRA</w:t>
      </w:r>
      <w:r w:rsidR="00693D01">
        <w:t xml:space="preserve">. </w:t>
      </w:r>
      <w:r w:rsidR="00327347">
        <w:t xml:space="preserve"> </w:t>
      </w:r>
      <w:r w:rsidR="00693D01">
        <w:t>Consequently,</w:t>
      </w:r>
      <w:r>
        <w:t xml:space="preserve"> the Council </w:t>
      </w:r>
      <w:r w:rsidR="0098401D">
        <w:t xml:space="preserve">took the decision </w:t>
      </w:r>
      <w:r>
        <w:t>that the social housing on this site would be owned by OCHL, so using RRTB</w:t>
      </w:r>
      <w:r w:rsidR="006661BC">
        <w:t>Rs</w:t>
      </w:r>
      <w:r>
        <w:t xml:space="preserve"> </w:t>
      </w:r>
      <w:r w:rsidR="00693D01">
        <w:t xml:space="preserve">to part fund these acquisitions </w:t>
      </w:r>
      <w:r>
        <w:t>was no longer an option.</w:t>
      </w:r>
    </w:p>
    <w:p w14:paraId="0D5EF9E8" w14:textId="5F07E31C" w:rsidR="00F4106C" w:rsidRPr="00F4106C" w:rsidRDefault="00067B3A" w:rsidP="00F4106C">
      <w:pPr>
        <w:pStyle w:val="ListParagraph"/>
        <w:ind w:left="360" w:hanging="360"/>
        <w:rPr>
          <w:b/>
        </w:rPr>
      </w:pPr>
      <w:r>
        <w:t xml:space="preserve">To date, the Council has used RRTBRs to support considerable investment across </w:t>
      </w:r>
      <w:r w:rsidRPr="00067B3A">
        <w:t xml:space="preserve">the General Fund and the HRA.  This </w:t>
      </w:r>
      <w:r w:rsidR="006661BC">
        <w:t xml:space="preserve">activity </w:t>
      </w:r>
      <w:r w:rsidR="00F4106C">
        <w:t>is summarised at Appendix 1.</w:t>
      </w:r>
    </w:p>
    <w:p w14:paraId="0FA5EEC9" w14:textId="77777777" w:rsidR="005B6222" w:rsidRPr="005B6222" w:rsidRDefault="00327347" w:rsidP="00F4106C">
      <w:pPr>
        <w:pStyle w:val="ListParagraph"/>
        <w:ind w:left="360" w:hanging="360"/>
        <w:rPr>
          <w:b/>
        </w:rPr>
      </w:pPr>
      <w:r>
        <w:t>Following consultation in 2</w:t>
      </w:r>
      <w:r w:rsidR="00AD06AB">
        <w:t>0</w:t>
      </w:r>
      <w:r w:rsidR="00067B3A">
        <w:t>18</w:t>
      </w:r>
      <w:r>
        <w:t xml:space="preserve">, the Government has recently made a number of changes concerning the use of </w:t>
      </w:r>
      <w:r w:rsidR="00067B3A">
        <w:t>RRTB funds</w:t>
      </w:r>
      <w:r w:rsidR="005B6222">
        <w:t>, most taking effect from April 2021.  This includes:</w:t>
      </w:r>
    </w:p>
    <w:p w14:paraId="6BC63CA7" w14:textId="77777777" w:rsidR="005B6222" w:rsidRPr="005B6222" w:rsidRDefault="005B6222" w:rsidP="005B6222">
      <w:pPr>
        <w:pStyle w:val="ListParagraph"/>
        <w:numPr>
          <w:ilvl w:val="0"/>
          <w:numId w:val="46"/>
        </w:numPr>
        <w:rPr>
          <w:b/>
        </w:rPr>
      </w:pPr>
      <w:r>
        <w:t>Increasing the period before payback is required to 5 years (from 3) and requiring only annual monitoring of this (not quarterly)</w:t>
      </w:r>
    </w:p>
    <w:p w14:paraId="2F11D63E" w14:textId="47385CA4" w:rsidR="00327347" w:rsidRPr="005B6222" w:rsidRDefault="005B6222" w:rsidP="005B6222">
      <w:pPr>
        <w:pStyle w:val="ListParagraph"/>
        <w:numPr>
          <w:ilvl w:val="0"/>
          <w:numId w:val="46"/>
        </w:numPr>
        <w:rPr>
          <w:b/>
        </w:rPr>
      </w:pPr>
      <w:r>
        <w:t xml:space="preserve">Increasing the rate at which </w:t>
      </w:r>
      <w:r w:rsidR="00744F52">
        <w:t xml:space="preserve">these funds </w:t>
      </w:r>
      <w:r>
        <w:t>can be used to 40% (from 30%)</w:t>
      </w:r>
    </w:p>
    <w:p w14:paraId="5A54E0DD" w14:textId="4CA09AC3" w:rsidR="005B6222" w:rsidRPr="00327347" w:rsidRDefault="005B6222" w:rsidP="005B6222">
      <w:pPr>
        <w:pStyle w:val="ListParagraph"/>
        <w:numPr>
          <w:ilvl w:val="0"/>
          <w:numId w:val="46"/>
        </w:numPr>
        <w:rPr>
          <w:b/>
        </w:rPr>
      </w:pPr>
      <w:r>
        <w:t xml:space="preserve">Placing a cap on acquisition activity (in favour of using </w:t>
      </w:r>
      <w:r w:rsidR="003829EA">
        <w:t xml:space="preserve">this </w:t>
      </w:r>
      <w:r>
        <w:t xml:space="preserve">for new build) from April 2022 </w:t>
      </w:r>
      <w:r w:rsidRPr="005B6222">
        <w:rPr>
          <w:i/>
        </w:rPr>
        <w:t>– This is above the rate that Oxford expect</w:t>
      </w:r>
      <w:r w:rsidR="003829EA">
        <w:rPr>
          <w:i/>
        </w:rPr>
        <w:t>s</w:t>
      </w:r>
      <w:r w:rsidRPr="005B6222">
        <w:rPr>
          <w:i/>
        </w:rPr>
        <w:t xml:space="preserve"> to operate</w:t>
      </w:r>
      <w:r w:rsidR="003829EA">
        <w:rPr>
          <w:i/>
        </w:rPr>
        <w:t xml:space="preserve"> at</w:t>
      </w:r>
      <w:r w:rsidR="006661BC">
        <w:rPr>
          <w:i/>
        </w:rPr>
        <w:t>, and excludes acquisitions from OCHL</w:t>
      </w:r>
    </w:p>
    <w:p w14:paraId="05435E0C" w14:textId="21BF7878" w:rsidR="009C0C78" w:rsidRDefault="005B6222" w:rsidP="00903042">
      <w:pPr>
        <w:pStyle w:val="ListParagraph"/>
        <w:ind w:left="360" w:hanging="360"/>
      </w:pPr>
      <w:r>
        <w:t>A report was agreed at Cabinet in January 2020 set</w:t>
      </w:r>
      <w:r w:rsidR="003829EA">
        <w:t xml:space="preserve">ting out further proposals for </w:t>
      </w:r>
      <w:r>
        <w:t>RRTBR</w:t>
      </w:r>
      <w:r w:rsidR="003829EA">
        <w:t xml:space="preserve"> spend</w:t>
      </w:r>
      <w:r>
        <w:t xml:space="preserve">s in 2020/21 and 2021/22 (committing receipts </w:t>
      </w:r>
      <w:r w:rsidR="009C0C78">
        <w:t xml:space="preserve">retained from RTB sales up to the end of 2018/19).  </w:t>
      </w:r>
    </w:p>
    <w:p w14:paraId="047BAB16" w14:textId="2DBD5719" w:rsidR="007A4C77" w:rsidRDefault="003118C0" w:rsidP="00903042">
      <w:pPr>
        <w:pStyle w:val="ListParagraph"/>
        <w:ind w:left="360" w:hanging="360"/>
      </w:pPr>
      <w:r w:rsidRPr="003118C0">
        <w:t>T</w:t>
      </w:r>
      <w:r w:rsidR="007A4C77">
        <w:t xml:space="preserve">o the end of March 2022, the Council presently forecasts that it will have spent all RRTBRs received up to the end of March 2019.  </w:t>
      </w:r>
      <w:r w:rsidR="003829EA">
        <w:t>This report therefore relates to receipts received from April 2019 on.</w:t>
      </w:r>
    </w:p>
    <w:p w14:paraId="175F0B5D" w14:textId="53C31B0B" w:rsidR="007A4C77" w:rsidRDefault="007A4C77" w:rsidP="00903042">
      <w:pPr>
        <w:pStyle w:val="ListParagraph"/>
        <w:ind w:left="360" w:hanging="360"/>
      </w:pPr>
      <w:r>
        <w:t xml:space="preserve">The deadline for receipts from the first quarter of 2019/20 (April to June 2019), under the previous rules, would have been the first quarter of 2022/23, but this is now extended </w:t>
      </w:r>
      <w:r w:rsidR="00682FC6">
        <w:t>from three year</w:t>
      </w:r>
      <w:r w:rsidR="003829EA">
        <w:t>s</w:t>
      </w:r>
      <w:r w:rsidR="00682FC6">
        <w:t xml:space="preserve"> to five (i.e. </w:t>
      </w:r>
      <w:r>
        <w:t>to 2024/25</w:t>
      </w:r>
      <w:r w:rsidR="00682FC6">
        <w:t>)</w:t>
      </w:r>
      <w:r>
        <w:t>.  It is however prudent to plan suitable qualifying spend considerably ahead of this deadline to minimise the risk of having to repay any funds.</w:t>
      </w:r>
    </w:p>
    <w:p w14:paraId="3443B43F" w14:textId="165E98EB" w:rsidR="008E5766" w:rsidRDefault="007A4C77" w:rsidP="00903042">
      <w:pPr>
        <w:pStyle w:val="ListParagraph"/>
        <w:ind w:left="360" w:hanging="360"/>
      </w:pPr>
      <w:r>
        <w:t>Recent RTB activity is shown in the table below.  This has reduced substantially in recent years.  In terms of RRTBRs, from 2019/20 and 20</w:t>
      </w:r>
      <w:r w:rsidR="00CF3764">
        <w:t>20/21, t</w:t>
      </w:r>
      <w:r w:rsidR="003118C0" w:rsidRPr="003118C0">
        <w:t>he Council</w:t>
      </w:r>
      <w:r w:rsidR="003118C0">
        <w:t xml:space="preserve"> currently has </w:t>
      </w:r>
      <w:r w:rsidR="00CF3764">
        <w:t xml:space="preserve">approximately </w:t>
      </w:r>
      <w:r w:rsidR="00106A61">
        <w:t>£4.1</w:t>
      </w:r>
      <w:r w:rsidR="005528AA">
        <w:rPr>
          <w:color w:val="FF0000"/>
        </w:rPr>
        <w:t xml:space="preserve"> </w:t>
      </w:r>
      <w:r w:rsidR="003118C0">
        <w:t xml:space="preserve">of </w:t>
      </w:r>
      <w:r w:rsidR="00CF3764">
        <w:t xml:space="preserve">receipts, currently unallocated to a project.  </w:t>
      </w:r>
      <w:r w:rsidR="003118C0">
        <w:t xml:space="preserve">This requires ‘qualifying </w:t>
      </w:r>
      <w:r w:rsidR="003118C0" w:rsidRPr="008F3301">
        <w:rPr>
          <w:color w:val="auto"/>
        </w:rPr>
        <w:t>expenditure’ of over £</w:t>
      </w:r>
      <w:r w:rsidR="00106A61" w:rsidRPr="008F3301">
        <w:rPr>
          <w:color w:val="auto"/>
        </w:rPr>
        <w:t>10.3m</w:t>
      </w:r>
      <w:r w:rsidR="005528AA" w:rsidRPr="008F3301">
        <w:rPr>
          <w:color w:val="auto"/>
        </w:rPr>
        <w:t xml:space="preserve"> </w:t>
      </w:r>
      <w:r w:rsidR="003118C0" w:rsidRPr="008F3301">
        <w:rPr>
          <w:color w:val="auto"/>
        </w:rPr>
        <w:t xml:space="preserve">to </w:t>
      </w:r>
      <w:r w:rsidR="000E20C1" w:rsidRPr="008F3301">
        <w:rPr>
          <w:color w:val="auto"/>
        </w:rPr>
        <w:t xml:space="preserve">use </w:t>
      </w:r>
      <w:r w:rsidR="000E20C1">
        <w:t xml:space="preserve">the receipts and ensure they do not have to be returned to Government.  </w:t>
      </w:r>
    </w:p>
    <w:p w14:paraId="246696FA" w14:textId="3FB746F6" w:rsidR="00CF3764" w:rsidRDefault="003829EA" w:rsidP="00903042">
      <w:pPr>
        <w:pStyle w:val="ListParagraph"/>
        <w:ind w:left="360" w:hanging="360"/>
      </w:pPr>
      <w:r>
        <w:t xml:space="preserve">At the half year of 2021/22, </w:t>
      </w:r>
      <w:r w:rsidR="005528AA">
        <w:t xml:space="preserve">eight </w:t>
      </w:r>
      <w:r>
        <w:t>RTB sales had taken place, which would indicate a similar level of activity to 2020/21</w:t>
      </w:r>
      <w:r w:rsidRPr="003829EA">
        <w:rPr>
          <w:color w:val="auto"/>
        </w:rPr>
        <w:t xml:space="preserve">.  </w:t>
      </w:r>
      <w:r w:rsidR="00CF3764" w:rsidRPr="003829EA">
        <w:rPr>
          <w:color w:val="auto"/>
        </w:rPr>
        <w:t>In 2022/23, a similar position is also expected.</w:t>
      </w:r>
      <w:r w:rsidR="00682FC6" w:rsidRPr="003829EA">
        <w:rPr>
          <w:color w:val="auto"/>
        </w:rPr>
        <w:t xml:space="preserve"> </w:t>
      </w:r>
    </w:p>
    <w:p w14:paraId="2B07EF93" w14:textId="3A79440E" w:rsidR="007A4C77" w:rsidRPr="007A4C77" w:rsidRDefault="007A4C77" w:rsidP="007A4C77">
      <w:pPr>
        <w:rPr>
          <w:color w:val="FF0000"/>
        </w:rPr>
      </w:pPr>
    </w:p>
    <w:tbl>
      <w:tblPr>
        <w:tblStyle w:val="TableGrid"/>
        <w:tblW w:w="0" w:type="auto"/>
        <w:tblLook w:val="04A0" w:firstRow="1" w:lastRow="0" w:firstColumn="1" w:lastColumn="0" w:noHBand="0" w:noVBand="1"/>
      </w:tblPr>
      <w:tblGrid>
        <w:gridCol w:w="1109"/>
        <w:gridCol w:w="908"/>
        <w:gridCol w:w="908"/>
        <w:gridCol w:w="909"/>
        <w:gridCol w:w="909"/>
        <w:gridCol w:w="909"/>
        <w:gridCol w:w="909"/>
        <w:gridCol w:w="909"/>
        <w:gridCol w:w="909"/>
        <w:gridCol w:w="909"/>
      </w:tblGrid>
      <w:tr w:rsidR="003C47A6" w:rsidRPr="003C47A6" w14:paraId="27948C33" w14:textId="77777777" w:rsidTr="003C47A6">
        <w:trPr>
          <w:trHeight w:val="402"/>
        </w:trPr>
        <w:tc>
          <w:tcPr>
            <w:tcW w:w="1109" w:type="dxa"/>
            <w:shd w:val="clear" w:color="auto" w:fill="DBE5F1" w:themeFill="accent1" w:themeFillTint="33"/>
            <w:hideMark/>
          </w:tcPr>
          <w:p w14:paraId="52EC51C7" w14:textId="77777777" w:rsidR="003C47A6" w:rsidRPr="003C47A6" w:rsidRDefault="003C47A6" w:rsidP="003C47A6">
            <w:pPr>
              <w:rPr>
                <w:rFonts w:asciiTheme="minorHAnsi" w:hAnsiTheme="minorHAnsi" w:cstheme="minorHAnsi"/>
                <w:b/>
                <w:bCs/>
              </w:rPr>
            </w:pPr>
            <w:r w:rsidRPr="003C47A6">
              <w:rPr>
                <w:rFonts w:asciiTheme="minorHAnsi" w:hAnsiTheme="minorHAnsi" w:cstheme="minorHAnsi"/>
                <w:b/>
                <w:bCs/>
              </w:rPr>
              <w:t>Financial Year</w:t>
            </w:r>
          </w:p>
        </w:tc>
        <w:tc>
          <w:tcPr>
            <w:tcW w:w="908" w:type="dxa"/>
            <w:shd w:val="clear" w:color="auto" w:fill="DBE5F1" w:themeFill="accent1" w:themeFillTint="33"/>
            <w:vAlign w:val="center"/>
            <w:hideMark/>
          </w:tcPr>
          <w:p w14:paraId="4F0A3348"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2012/13</w:t>
            </w:r>
          </w:p>
        </w:tc>
        <w:tc>
          <w:tcPr>
            <w:tcW w:w="908" w:type="dxa"/>
            <w:shd w:val="clear" w:color="auto" w:fill="DBE5F1" w:themeFill="accent1" w:themeFillTint="33"/>
            <w:vAlign w:val="center"/>
            <w:hideMark/>
          </w:tcPr>
          <w:p w14:paraId="555E31E3"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2013/14</w:t>
            </w:r>
          </w:p>
        </w:tc>
        <w:tc>
          <w:tcPr>
            <w:tcW w:w="909" w:type="dxa"/>
            <w:shd w:val="clear" w:color="auto" w:fill="DBE5F1" w:themeFill="accent1" w:themeFillTint="33"/>
            <w:vAlign w:val="center"/>
            <w:hideMark/>
          </w:tcPr>
          <w:p w14:paraId="19ACBE6A"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2014/15</w:t>
            </w:r>
          </w:p>
        </w:tc>
        <w:tc>
          <w:tcPr>
            <w:tcW w:w="909" w:type="dxa"/>
            <w:shd w:val="clear" w:color="auto" w:fill="DBE5F1" w:themeFill="accent1" w:themeFillTint="33"/>
            <w:vAlign w:val="center"/>
            <w:hideMark/>
          </w:tcPr>
          <w:p w14:paraId="1311A008"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2015/16</w:t>
            </w:r>
          </w:p>
        </w:tc>
        <w:tc>
          <w:tcPr>
            <w:tcW w:w="909" w:type="dxa"/>
            <w:shd w:val="clear" w:color="auto" w:fill="DBE5F1" w:themeFill="accent1" w:themeFillTint="33"/>
            <w:vAlign w:val="center"/>
            <w:hideMark/>
          </w:tcPr>
          <w:p w14:paraId="26351D3D"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2016/17</w:t>
            </w:r>
          </w:p>
        </w:tc>
        <w:tc>
          <w:tcPr>
            <w:tcW w:w="909" w:type="dxa"/>
            <w:shd w:val="clear" w:color="auto" w:fill="DBE5F1" w:themeFill="accent1" w:themeFillTint="33"/>
            <w:vAlign w:val="center"/>
            <w:hideMark/>
          </w:tcPr>
          <w:p w14:paraId="5EAF67D4"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2017/18</w:t>
            </w:r>
          </w:p>
        </w:tc>
        <w:tc>
          <w:tcPr>
            <w:tcW w:w="909" w:type="dxa"/>
            <w:shd w:val="clear" w:color="auto" w:fill="DBE5F1" w:themeFill="accent1" w:themeFillTint="33"/>
            <w:vAlign w:val="center"/>
            <w:hideMark/>
          </w:tcPr>
          <w:p w14:paraId="0A2F127A"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2018/19</w:t>
            </w:r>
          </w:p>
        </w:tc>
        <w:tc>
          <w:tcPr>
            <w:tcW w:w="909" w:type="dxa"/>
            <w:shd w:val="clear" w:color="auto" w:fill="DBE5F1" w:themeFill="accent1" w:themeFillTint="33"/>
            <w:vAlign w:val="center"/>
            <w:hideMark/>
          </w:tcPr>
          <w:p w14:paraId="4AE4795C"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2019/20</w:t>
            </w:r>
          </w:p>
        </w:tc>
        <w:tc>
          <w:tcPr>
            <w:tcW w:w="909" w:type="dxa"/>
            <w:shd w:val="clear" w:color="auto" w:fill="DBE5F1" w:themeFill="accent1" w:themeFillTint="33"/>
            <w:vAlign w:val="center"/>
            <w:hideMark/>
          </w:tcPr>
          <w:p w14:paraId="3A108A40" w14:textId="77777777" w:rsidR="003C47A6" w:rsidRPr="003C47A6" w:rsidRDefault="003C47A6" w:rsidP="003C47A6">
            <w:pPr>
              <w:jc w:val="center"/>
              <w:rPr>
                <w:rFonts w:asciiTheme="minorHAnsi" w:hAnsiTheme="minorHAnsi" w:cstheme="minorHAnsi"/>
                <w:b/>
                <w:bCs/>
                <w:sz w:val="18"/>
                <w:szCs w:val="18"/>
              </w:rPr>
            </w:pPr>
            <w:r w:rsidRPr="003C47A6">
              <w:rPr>
                <w:rFonts w:asciiTheme="minorHAnsi" w:hAnsiTheme="minorHAnsi" w:cstheme="minorHAnsi"/>
                <w:b/>
                <w:bCs/>
                <w:sz w:val="18"/>
                <w:szCs w:val="18"/>
              </w:rPr>
              <w:t>2020/21</w:t>
            </w:r>
          </w:p>
        </w:tc>
      </w:tr>
      <w:tr w:rsidR="003C47A6" w:rsidRPr="003C47A6" w14:paraId="790E5907" w14:textId="77777777" w:rsidTr="003C47A6">
        <w:trPr>
          <w:trHeight w:val="402"/>
        </w:trPr>
        <w:tc>
          <w:tcPr>
            <w:tcW w:w="1109" w:type="dxa"/>
            <w:hideMark/>
          </w:tcPr>
          <w:p w14:paraId="6A39FE2D" w14:textId="64FDF759" w:rsidR="003C47A6" w:rsidRPr="003C47A6" w:rsidRDefault="003C47A6">
            <w:pPr>
              <w:rPr>
                <w:rFonts w:asciiTheme="minorHAnsi" w:hAnsiTheme="minorHAnsi" w:cstheme="minorHAnsi"/>
                <w:b/>
                <w:bCs/>
              </w:rPr>
            </w:pPr>
            <w:r w:rsidRPr="003C47A6">
              <w:rPr>
                <w:rFonts w:asciiTheme="minorHAnsi" w:hAnsiTheme="minorHAnsi" w:cstheme="minorHAnsi"/>
                <w:b/>
                <w:bCs/>
              </w:rPr>
              <w:t>Actual RTBs</w:t>
            </w:r>
          </w:p>
        </w:tc>
        <w:tc>
          <w:tcPr>
            <w:tcW w:w="908" w:type="dxa"/>
            <w:vAlign w:val="center"/>
            <w:hideMark/>
          </w:tcPr>
          <w:p w14:paraId="4DD8EFF2"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8</w:t>
            </w:r>
          </w:p>
        </w:tc>
        <w:tc>
          <w:tcPr>
            <w:tcW w:w="908" w:type="dxa"/>
            <w:vAlign w:val="center"/>
            <w:hideMark/>
          </w:tcPr>
          <w:p w14:paraId="1679EA76"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45</w:t>
            </w:r>
          </w:p>
        </w:tc>
        <w:tc>
          <w:tcPr>
            <w:tcW w:w="909" w:type="dxa"/>
            <w:vAlign w:val="center"/>
            <w:hideMark/>
          </w:tcPr>
          <w:p w14:paraId="5E2478A6"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46</w:t>
            </w:r>
          </w:p>
        </w:tc>
        <w:tc>
          <w:tcPr>
            <w:tcW w:w="909" w:type="dxa"/>
            <w:vAlign w:val="center"/>
            <w:hideMark/>
          </w:tcPr>
          <w:p w14:paraId="38355298"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32</w:t>
            </w:r>
          </w:p>
        </w:tc>
        <w:tc>
          <w:tcPr>
            <w:tcW w:w="909" w:type="dxa"/>
            <w:vAlign w:val="center"/>
            <w:hideMark/>
          </w:tcPr>
          <w:p w14:paraId="70AE6656"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25</w:t>
            </w:r>
          </w:p>
        </w:tc>
        <w:tc>
          <w:tcPr>
            <w:tcW w:w="909" w:type="dxa"/>
            <w:vAlign w:val="center"/>
            <w:hideMark/>
          </w:tcPr>
          <w:p w14:paraId="6D98D844"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36</w:t>
            </w:r>
          </w:p>
        </w:tc>
        <w:tc>
          <w:tcPr>
            <w:tcW w:w="909" w:type="dxa"/>
            <w:vAlign w:val="center"/>
            <w:hideMark/>
          </w:tcPr>
          <w:p w14:paraId="1BAD9F9E"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21</w:t>
            </w:r>
          </w:p>
        </w:tc>
        <w:tc>
          <w:tcPr>
            <w:tcW w:w="909" w:type="dxa"/>
            <w:vAlign w:val="center"/>
            <w:hideMark/>
          </w:tcPr>
          <w:p w14:paraId="6ED12E10"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29</w:t>
            </w:r>
          </w:p>
        </w:tc>
        <w:tc>
          <w:tcPr>
            <w:tcW w:w="909" w:type="dxa"/>
            <w:vAlign w:val="center"/>
            <w:hideMark/>
          </w:tcPr>
          <w:p w14:paraId="69E10875" w14:textId="77777777" w:rsidR="003C47A6" w:rsidRPr="003C47A6" w:rsidRDefault="003C47A6" w:rsidP="003C47A6">
            <w:pPr>
              <w:jc w:val="center"/>
              <w:rPr>
                <w:rFonts w:asciiTheme="minorHAnsi" w:hAnsiTheme="minorHAnsi" w:cstheme="minorHAnsi"/>
              </w:rPr>
            </w:pPr>
            <w:r w:rsidRPr="003C47A6">
              <w:rPr>
                <w:rFonts w:asciiTheme="minorHAnsi" w:hAnsiTheme="minorHAnsi" w:cstheme="minorHAnsi"/>
              </w:rPr>
              <w:t>20</w:t>
            </w:r>
          </w:p>
        </w:tc>
      </w:tr>
    </w:tbl>
    <w:p w14:paraId="6A7EA4F4" w14:textId="4EF540EF" w:rsidR="007A4C77" w:rsidRDefault="003C47A6" w:rsidP="007A4C77">
      <w:pPr>
        <w:rPr>
          <w:rFonts w:asciiTheme="minorHAnsi" w:hAnsiTheme="minorHAnsi" w:cstheme="minorHAnsi"/>
        </w:rPr>
      </w:pPr>
      <w:r w:rsidRPr="003C47A6">
        <w:rPr>
          <w:rFonts w:asciiTheme="minorHAnsi" w:hAnsiTheme="minorHAnsi" w:cstheme="minorHAnsi"/>
        </w:rPr>
        <w:t>For 21/22</w:t>
      </w:r>
      <w:r>
        <w:rPr>
          <w:rFonts w:asciiTheme="minorHAnsi" w:hAnsiTheme="minorHAnsi" w:cstheme="minorHAnsi"/>
        </w:rPr>
        <w:t>:</w:t>
      </w:r>
      <w:r w:rsidRPr="003C47A6">
        <w:rPr>
          <w:rFonts w:asciiTheme="minorHAnsi" w:hAnsiTheme="minorHAnsi" w:cstheme="minorHAnsi"/>
        </w:rPr>
        <w:t xml:space="preserve"> There were 8 RTB sales to end Sept </w:t>
      </w:r>
      <w:r>
        <w:rPr>
          <w:rFonts w:asciiTheme="minorHAnsi" w:hAnsiTheme="minorHAnsi" w:cstheme="minorHAnsi"/>
        </w:rPr>
        <w:t xml:space="preserve">2021 </w:t>
      </w:r>
      <w:r w:rsidRPr="003C47A6">
        <w:rPr>
          <w:rFonts w:asciiTheme="minorHAnsi" w:hAnsiTheme="minorHAnsi" w:cstheme="minorHAnsi"/>
        </w:rPr>
        <w:t>(</w:t>
      </w:r>
      <w:r>
        <w:rPr>
          <w:rFonts w:asciiTheme="minorHAnsi" w:hAnsiTheme="minorHAnsi" w:cstheme="minorHAnsi"/>
        </w:rPr>
        <w:t xml:space="preserve">at </w:t>
      </w:r>
      <w:r w:rsidRPr="003C47A6">
        <w:rPr>
          <w:rFonts w:asciiTheme="minorHAnsi" w:hAnsiTheme="minorHAnsi" w:cstheme="minorHAnsi"/>
        </w:rPr>
        <w:t>half year)</w:t>
      </w:r>
    </w:p>
    <w:p w14:paraId="08825BE0" w14:textId="77777777" w:rsidR="003C47A6" w:rsidRPr="003C47A6" w:rsidRDefault="003C47A6" w:rsidP="007A4C77">
      <w:pPr>
        <w:rPr>
          <w:rFonts w:asciiTheme="minorHAnsi" w:hAnsiTheme="minorHAnsi" w:cstheme="minorHAnsi"/>
        </w:rPr>
      </w:pPr>
    </w:p>
    <w:p w14:paraId="0910499D" w14:textId="12F9AECF" w:rsidR="0069340C" w:rsidRPr="008F3301" w:rsidRDefault="00CF3764" w:rsidP="00903042">
      <w:pPr>
        <w:pStyle w:val="ListParagraph"/>
        <w:ind w:left="360" w:hanging="360"/>
        <w:rPr>
          <w:color w:val="auto"/>
        </w:rPr>
      </w:pPr>
      <w:r w:rsidRPr="00AF59BE">
        <w:rPr>
          <w:color w:val="auto"/>
        </w:rPr>
        <w:t xml:space="preserve">An in-year </w:t>
      </w:r>
      <w:r w:rsidRPr="008F3301">
        <w:rPr>
          <w:color w:val="auto"/>
        </w:rPr>
        <w:t>budget of £</w:t>
      </w:r>
      <w:r w:rsidR="00AF59BE" w:rsidRPr="008F3301">
        <w:rPr>
          <w:color w:val="auto"/>
        </w:rPr>
        <w:t>2</w:t>
      </w:r>
      <w:r w:rsidR="000E5B3F" w:rsidRPr="008F3301">
        <w:rPr>
          <w:color w:val="auto"/>
        </w:rPr>
        <w:t>m</w:t>
      </w:r>
      <w:r w:rsidRPr="008F3301">
        <w:rPr>
          <w:color w:val="auto"/>
        </w:rPr>
        <w:t xml:space="preserve"> in 2021/22 is proposed to cover additional spend this year</w:t>
      </w:r>
      <w:r w:rsidR="0069340C" w:rsidRPr="008F3301">
        <w:rPr>
          <w:color w:val="auto"/>
        </w:rPr>
        <w:t xml:space="preserve"> on acquisitions, plus the £1.65</w:t>
      </w:r>
      <w:r w:rsidR="008F3301" w:rsidRPr="008F3301">
        <w:rPr>
          <w:color w:val="auto"/>
        </w:rPr>
        <w:t>m</w:t>
      </w:r>
      <w:r w:rsidR="008F3301">
        <w:rPr>
          <w:color w:val="auto"/>
        </w:rPr>
        <w:t xml:space="preserve"> </w:t>
      </w:r>
      <w:r w:rsidR="0069340C" w:rsidRPr="008F3301">
        <w:rPr>
          <w:color w:val="auto"/>
        </w:rPr>
        <w:t>Roken House purchase and refurbishment.  Th</w:t>
      </w:r>
      <w:r w:rsidR="008F3301">
        <w:rPr>
          <w:color w:val="auto"/>
        </w:rPr>
        <w:t>is</w:t>
      </w:r>
      <w:r w:rsidR="0069340C" w:rsidRPr="008F3301">
        <w:rPr>
          <w:color w:val="auto"/>
        </w:rPr>
        <w:t xml:space="preserve"> combined project spend is £3.65m, using £1,460,000 of RRTBRs.</w:t>
      </w:r>
    </w:p>
    <w:p w14:paraId="178B1A95" w14:textId="71FCC343" w:rsidR="00903042" w:rsidRPr="00AF59BE" w:rsidRDefault="008E5766" w:rsidP="00392A3F">
      <w:pPr>
        <w:pStyle w:val="ListParagraph"/>
        <w:spacing w:after="240"/>
        <w:ind w:left="357" w:hanging="357"/>
        <w:rPr>
          <w:color w:val="auto"/>
        </w:rPr>
      </w:pPr>
      <w:r w:rsidRPr="008F3301">
        <w:rPr>
          <w:color w:val="auto"/>
        </w:rPr>
        <w:lastRenderedPageBreak/>
        <w:t>I</w:t>
      </w:r>
      <w:r w:rsidR="000E20C1" w:rsidRPr="008F3301">
        <w:rPr>
          <w:color w:val="auto"/>
        </w:rPr>
        <w:t>n the Consultation Budget report to Cabinet</w:t>
      </w:r>
      <w:r w:rsidR="008F3301">
        <w:rPr>
          <w:color w:val="auto"/>
        </w:rPr>
        <w:t xml:space="preserve"> (December 2021)</w:t>
      </w:r>
      <w:r w:rsidR="000E20C1" w:rsidRPr="008F3301">
        <w:rPr>
          <w:color w:val="auto"/>
        </w:rPr>
        <w:t xml:space="preserve">, a </w:t>
      </w:r>
      <w:r w:rsidR="00CF358F" w:rsidRPr="008F3301">
        <w:rPr>
          <w:color w:val="auto"/>
        </w:rPr>
        <w:t>‘</w:t>
      </w:r>
      <w:r w:rsidR="00AF59BE" w:rsidRPr="008F3301">
        <w:rPr>
          <w:color w:val="auto"/>
        </w:rPr>
        <w:t xml:space="preserve">qualifying </w:t>
      </w:r>
      <w:r w:rsidR="000E20C1" w:rsidRPr="008F3301">
        <w:rPr>
          <w:color w:val="auto"/>
        </w:rPr>
        <w:t>spend</w:t>
      </w:r>
      <w:r w:rsidR="00CF358F" w:rsidRPr="008F3301">
        <w:rPr>
          <w:color w:val="auto"/>
        </w:rPr>
        <w:t>’</w:t>
      </w:r>
      <w:r w:rsidR="000E20C1" w:rsidRPr="008F3301">
        <w:rPr>
          <w:color w:val="auto"/>
        </w:rPr>
        <w:t xml:space="preserve"> allocation of </w:t>
      </w:r>
      <w:r w:rsidR="00AF59BE" w:rsidRPr="008F3301">
        <w:rPr>
          <w:color w:val="auto"/>
        </w:rPr>
        <w:t>approximately £</w:t>
      </w:r>
      <w:r w:rsidR="0069340C" w:rsidRPr="008F3301">
        <w:rPr>
          <w:color w:val="auto"/>
        </w:rPr>
        <w:t>6.65m is</w:t>
      </w:r>
      <w:r w:rsidR="00AF59BE" w:rsidRPr="008F3301">
        <w:rPr>
          <w:color w:val="auto"/>
        </w:rPr>
        <w:t xml:space="preserve"> pr</w:t>
      </w:r>
      <w:r w:rsidR="000E20C1" w:rsidRPr="008F3301">
        <w:rPr>
          <w:color w:val="auto"/>
        </w:rPr>
        <w:t xml:space="preserve">oposed </w:t>
      </w:r>
      <w:r w:rsidR="0069340C" w:rsidRPr="008F3301">
        <w:rPr>
          <w:color w:val="auto"/>
        </w:rPr>
        <w:t xml:space="preserve">across the </w:t>
      </w:r>
      <w:r w:rsidR="000E20C1" w:rsidRPr="008F3301">
        <w:rPr>
          <w:color w:val="auto"/>
        </w:rPr>
        <w:t>202</w:t>
      </w:r>
      <w:r w:rsidR="00CF3764" w:rsidRPr="008F3301">
        <w:rPr>
          <w:color w:val="auto"/>
        </w:rPr>
        <w:t>2</w:t>
      </w:r>
      <w:r w:rsidR="000E20C1" w:rsidRPr="008F3301">
        <w:rPr>
          <w:color w:val="auto"/>
        </w:rPr>
        <w:t>/2</w:t>
      </w:r>
      <w:r w:rsidR="00CF3764" w:rsidRPr="008F3301">
        <w:rPr>
          <w:color w:val="auto"/>
        </w:rPr>
        <w:t>3 and 2023/24</w:t>
      </w:r>
      <w:r w:rsidR="0069340C" w:rsidRPr="008F3301">
        <w:rPr>
          <w:color w:val="auto"/>
        </w:rPr>
        <w:t xml:space="preserve"> years (with up to £3.2m available to be </w:t>
      </w:r>
      <w:r w:rsidR="0069340C">
        <w:rPr>
          <w:color w:val="auto"/>
        </w:rPr>
        <w:t>used within the 2024/25 year instead</w:t>
      </w:r>
      <w:r w:rsidR="008F3301">
        <w:rPr>
          <w:color w:val="auto"/>
        </w:rPr>
        <w:t>, and within the 5 year deadline</w:t>
      </w:r>
      <w:r w:rsidR="0069340C">
        <w:rPr>
          <w:color w:val="auto"/>
        </w:rPr>
        <w:t>) which could enable the budget to be more evenly distributed over these three years</w:t>
      </w:r>
      <w:r w:rsidR="008F3301">
        <w:rPr>
          <w:color w:val="auto"/>
        </w:rPr>
        <w:t>, if desired</w:t>
      </w:r>
      <w:r w:rsidR="000E20C1" w:rsidRPr="00AF59BE">
        <w:rPr>
          <w:color w:val="auto"/>
        </w:rPr>
        <w:t xml:space="preserve">.  </w:t>
      </w:r>
    </w:p>
    <w:p w14:paraId="3ADEC80A" w14:textId="77777777" w:rsidR="00E851C5" w:rsidRPr="00F4106C" w:rsidRDefault="0002747F" w:rsidP="0002747F">
      <w:pPr>
        <w:rPr>
          <w:b/>
        </w:rPr>
      </w:pPr>
      <w:r w:rsidRPr="00446F1C">
        <w:rPr>
          <w:b/>
        </w:rPr>
        <w:t>Proposal</w:t>
      </w:r>
      <w:r w:rsidR="00E851C5">
        <w:rPr>
          <w:b/>
        </w:rPr>
        <w:t>s for S</w:t>
      </w:r>
      <w:r w:rsidR="00903042">
        <w:rPr>
          <w:b/>
        </w:rPr>
        <w:t>pend</w:t>
      </w:r>
    </w:p>
    <w:p w14:paraId="7C51E2CA" w14:textId="63FB3169" w:rsidR="000710BA" w:rsidRPr="004E751E" w:rsidRDefault="003E3997" w:rsidP="004E751E">
      <w:pPr>
        <w:pStyle w:val="ListParagraph"/>
        <w:spacing w:after="240"/>
        <w:ind w:left="357" w:hanging="357"/>
        <w:rPr>
          <w:rFonts w:cs="Arial"/>
        </w:rPr>
      </w:pPr>
      <w:r>
        <w:t>Th</w:t>
      </w:r>
      <w:r w:rsidR="00CF3764">
        <w:t>e following proposals show where this funding could be spent to provide s</w:t>
      </w:r>
      <w:r>
        <w:t xml:space="preserve">ignificant benefit </w:t>
      </w:r>
      <w:r w:rsidR="0035770D">
        <w:t>t</w:t>
      </w:r>
      <w:r w:rsidR="00F9345E">
        <w:t xml:space="preserve">hrough the </w:t>
      </w:r>
      <w:r w:rsidR="0035770D">
        <w:t xml:space="preserve">delivery of more </w:t>
      </w:r>
      <w:r>
        <w:t>affordable housing</w:t>
      </w:r>
      <w:r w:rsidR="0035770D">
        <w:t>.</w:t>
      </w:r>
    </w:p>
    <w:p w14:paraId="6C764C2D" w14:textId="77777777" w:rsidR="000710BA" w:rsidRDefault="003E3997" w:rsidP="000710BA">
      <w:pPr>
        <w:rPr>
          <w:u w:val="single"/>
        </w:rPr>
      </w:pPr>
      <w:r w:rsidRPr="000710BA">
        <w:rPr>
          <w:u w:val="single"/>
        </w:rPr>
        <w:t>R</w:t>
      </w:r>
      <w:r w:rsidR="0035770D">
        <w:rPr>
          <w:u w:val="single"/>
        </w:rPr>
        <w:t>oken House</w:t>
      </w:r>
      <w:r w:rsidR="000710BA" w:rsidRPr="000710BA">
        <w:rPr>
          <w:u w:val="single"/>
        </w:rPr>
        <w:t xml:space="preserve"> </w:t>
      </w:r>
    </w:p>
    <w:p w14:paraId="115550AA" w14:textId="77777777" w:rsidR="00D465BF" w:rsidRDefault="00D465BF" w:rsidP="00D465BF">
      <w:pPr>
        <w:pStyle w:val="ListParagraph"/>
        <w:ind w:left="360" w:hanging="360"/>
        <w:rPr>
          <w:rFonts w:cs="Arial"/>
        </w:rPr>
      </w:pPr>
      <w:r>
        <w:t xml:space="preserve">Roken House </w:t>
      </w:r>
      <w:r w:rsidRPr="00D465BF">
        <w:rPr>
          <w:rFonts w:cs="Arial"/>
        </w:rPr>
        <w:t>(Lake Street</w:t>
      </w:r>
      <w:r>
        <w:rPr>
          <w:rFonts w:cs="Arial"/>
        </w:rPr>
        <w:t>, Oxford</w:t>
      </w:r>
      <w:r w:rsidRPr="00D465BF">
        <w:rPr>
          <w:rFonts w:cs="Arial"/>
        </w:rPr>
        <w:t>) has been used as support</w:t>
      </w:r>
      <w:r>
        <w:rPr>
          <w:rFonts w:cs="Arial"/>
        </w:rPr>
        <w:t>ed accommodation for many years.</w:t>
      </w:r>
      <w:r w:rsidRPr="00D465BF">
        <w:rPr>
          <w:rFonts w:cs="Arial"/>
        </w:rPr>
        <w:t xml:space="preserve"> </w:t>
      </w:r>
      <w:r>
        <w:rPr>
          <w:rFonts w:cs="Arial"/>
        </w:rPr>
        <w:t xml:space="preserve">  </w:t>
      </w:r>
      <w:r w:rsidRPr="00D465BF">
        <w:rPr>
          <w:rFonts w:cs="Arial"/>
        </w:rPr>
        <w:t>The building was converted from an HMO into eight self-contained flats in 2012.  It comprises of five 1-bed flats and a staff office on the ground floor, and two 2-bed flats on the first floor.  The building is set back from the street, and in a well-connected location close to the centre of Oxford</w:t>
      </w:r>
      <w:r>
        <w:rPr>
          <w:rFonts w:cs="Arial"/>
        </w:rPr>
        <w:t>.  It was decommissioned as a (County Council commissioned) service in 2020.  T</w:t>
      </w:r>
      <w:r w:rsidRPr="00D465BF">
        <w:rPr>
          <w:rFonts w:cs="Arial"/>
        </w:rPr>
        <w:t>he Home Group (R</w:t>
      </w:r>
      <w:r>
        <w:rPr>
          <w:rFonts w:cs="Arial"/>
        </w:rPr>
        <w:t xml:space="preserve">egistered </w:t>
      </w:r>
      <w:r w:rsidRPr="00D465BF">
        <w:rPr>
          <w:rFonts w:cs="Arial"/>
        </w:rPr>
        <w:t>P</w:t>
      </w:r>
      <w:r>
        <w:rPr>
          <w:rFonts w:cs="Arial"/>
        </w:rPr>
        <w:t>rovider</w:t>
      </w:r>
      <w:r w:rsidRPr="00D465BF">
        <w:rPr>
          <w:rFonts w:cs="Arial"/>
        </w:rPr>
        <w:t xml:space="preserve">) that own the freehold </w:t>
      </w:r>
      <w:r>
        <w:rPr>
          <w:rFonts w:cs="Arial"/>
        </w:rPr>
        <w:t>have confirmed that they would sell the property to the Council to assist with keeping these homes within the affordable housing sector.</w:t>
      </w:r>
    </w:p>
    <w:p w14:paraId="1104360B" w14:textId="77777777" w:rsidR="00D465BF" w:rsidRPr="00855477" w:rsidRDefault="00D465BF" w:rsidP="00D465BF">
      <w:pPr>
        <w:pStyle w:val="ListParagraph"/>
        <w:ind w:left="360" w:hanging="360"/>
        <w:rPr>
          <w:rFonts w:cs="Arial"/>
          <w:color w:val="auto"/>
        </w:rPr>
      </w:pPr>
      <w:r>
        <w:rPr>
          <w:rFonts w:cs="Arial"/>
        </w:rPr>
        <w:t xml:space="preserve">Valuations of the property have been undertaken and a draft Heads of Terms agreement developed, with the proposal that the Council acquires the property, </w:t>
      </w:r>
      <w:r w:rsidRPr="00855477">
        <w:rPr>
          <w:rFonts w:cs="Arial"/>
          <w:color w:val="auto"/>
        </w:rPr>
        <w:t xml:space="preserve">subject to further due diligence.    </w:t>
      </w:r>
    </w:p>
    <w:p w14:paraId="699A04E2" w14:textId="1F9CFE73" w:rsidR="00855477" w:rsidRPr="00855477" w:rsidRDefault="00D465BF" w:rsidP="00855477">
      <w:pPr>
        <w:pStyle w:val="ListParagraph"/>
        <w:ind w:left="360" w:hanging="360"/>
        <w:rPr>
          <w:rFonts w:cs="Arial"/>
          <w:color w:val="auto"/>
        </w:rPr>
      </w:pPr>
      <w:r w:rsidRPr="00855477">
        <w:rPr>
          <w:rFonts w:cs="Arial"/>
          <w:color w:val="auto"/>
        </w:rPr>
        <w:t xml:space="preserve">The Council would intend to refurbish the property and then use it as </w:t>
      </w:r>
      <w:r w:rsidR="006661BC">
        <w:rPr>
          <w:rFonts w:cs="Arial"/>
          <w:color w:val="auto"/>
        </w:rPr>
        <w:t>s</w:t>
      </w:r>
      <w:r w:rsidRPr="00855477">
        <w:rPr>
          <w:rFonts w:cs="Arial"/>
          <w:color w:val="auto"/>
        </w:rPr>
        <w:t xml:space="preserve">upported </w:t>
      </w:r>
      <w:r w:rsidR="006661BC">
        <w:rPr>
          <w:rFonts w:cs="Arial"/>
          <w:color w:val="auto"/>
        </w:rPr>
        <w:t>t</w:t>
      </w:r>
      <w:r w:rsidRPr="00855477">
        <w:rPr>
          <w:rFonts w:cs="Arial"/>
          <w:color w:val="auto"/>
        </w:rPr>
        <w:t xml:space="preserve">emporary </w:t>
      </w:r>
      <w:r w:rsidR="006661BC">
        <w:rPr>
          <w:rFonts w:cs="Arial"/>
          <w:color w:val="auto"/>
        </w:rPr>
        <w:t>a</w:t>
      </w:r>
      <w:r w:rsidRPr="00855477">
        <w:rPr>
          <w:rFonts w:cs="Arial"/>
          <w:color w:val="auto"/>
        </w:rPr>
        <w:t>ccommodation for complex/ high need single clients</w:t>
      </w:r>
      <w:r w:rsidR="006661BC">
        <w:rPr>
          <w:rFonts w:cs="Arial"/>
          <w:color w:val="auto"/>
        </w:rPr>
        <w:t xml:space="preserve"> requiring accommodation under</w:t>
      </w:r>
      <w:r w:rsidRPr="00855477">
        <w:rPr>
          <w:rFonts w:cs="Arial"/>
          <w:color w:val="auto"/>
        </w:rPr>
        <w:t xml:space="preserve"> </w:t>
      </w:r>
      <w:r w:rsidR="006661BC">
        <w:rPr>
          <w:rFonts w:cs="Arial"/>
          <w:color w:val="auto"/>
        </w:rPr>
        <w:t>h</w:t>
      </w:r>
      <w:r w:rsidRPr="00855477">
        <w:rPr>
          <w:rFonts w:cs="Arial"/>
          <w:color w:val="auto"/>
        </w:rPr>
        <w:t xml:space="preserve">omelessness </w:t>
      </w:r>
      <w:r w:rsidR="006661BC">
        <w:rPr>
          <w:rFonts w:cs="Arial"/>
          <w:color w:val="auto"/>
        </w:rPr>
        <w:t>legislation</w:t>
      </w:r>
      <w:r w:rsidR="00A2302D" w:rsidRPr="00855477">
        <w:rPr>
          <w:rFonts w:cs="Arial"/>
          <w:color w:val="auto"/>
        </w:rPr>
        <w:t xml:space="preserve">.  This </w:t>
      </w:r>
      <w:r w:rsidR="006661BC">
        <w:rPr>
          <w:rFonts w:cs="Arial"/>
          <w:color w:val="auto"/>
        </w:rPr>
        <w:t>need, i</w:t>
      </w:r>
      <w:r w:rsidR="00A2302D" w:rsidRPr="00855477">
        <w:rPr>
          <w:rFonts w:cs="Arial"/>
          <w:color w:val="auto"/>
        </w:rPr>
        <w:t xml:space="preserve">s a current pressure within the homelessness/ temporary accommodation service, and </w:t>
      </w:r>
      <w:r w:rsidR="006661BC">
        <w:rPr>
          <w:rFonts w:cs="Arial"/>
          <w:color w:val="auto"/>
        </w:rPr>
        <w:t xml:space="preserve">is </w:t>
      </w:r>
      <w:r w:rsidR="00A2302D" w:rsidRPr="00855477">
        <w:rPr>
          <w:rFonts w:cs="Arial"/>
          <w:color w:val="auto"/>
        </w:rPr>
        <w:t>part of a wider programme of work.</w:t>
      </w:r>
    </w:p>
    <w:p w14:paraId="54BA377B" w14:textId="7A115A9B" w:rsidR="00855477" w:rsidRPr="00855477" w:rsidRDefault="00A2302D" w:rsidP="00855477">
      <w:pPr>
        <w:pStyle w:val="ListParagraph"/>
        <w:ind w:left="360" w:hanging="360"/>
        <w:rPr>
          <w:rFonts w:cs="Arial"/>
          <w:color w:val="auto"/>
        </w:rPr>
      </w:pPr>
      <w:r w:rsidRPr="00855477">
        <w:rPr>
          <w:rFonts w:cs="Arial"/>
          <w:color w:val="auto"/>
        </w:rPr>
        <w:t xml:space="preserve">The current condition of the property is considered reasonable having been refurbished in 2012, but would benefit from some redecoration and updating.  To make best use of the building, further improvements are being explored.  The first floor currently comprises of two 2-bed flats, whereas three 1-bed flats would be preferable for the use proposed (i.e. single vulnerable clients).  Initial work indicates that this is possible and an indicative cost has been provided.  Further work is underway to provide further certainty in this regard. The works would present an opportunity for </w:t>
      </w:r>
      <w:r w:rsidR="006661BC">
        <w:rPr>
          <w:rFonts w:cs="Arial"/>
          <w:color w:val="auto"/>
        </w:rPr>
        <w:t>Oxford Direct Services</w:t>
      </w:r>
      <w:r w:rsidR="00E3518B">
        <w:rPr>
          <w:rFonts w:cs="Arial"/>
          <w:color w:val="auto"/>
        </w:rPr>
        <w:t xml:space="preserve"> (</w:t>
      </w:r>
      <w:r w:rsidRPr="00855477">
        <w:rPr>
          <w:rFonts w:cs="Arial"/>
          <w:color w:val="auto"/>
        </w:rPr>
        <w:t>ODS</w:t>
      </w:r>
      <w:r w:rsidR="00E3518B">
        <w:rPr>
          <w:rFonts w:cs="Arial"/>
          <w:color w:val="auto"/>
        </w:rPr>
        <w:t>)</w:t>
      </w:r>
      <w:r w:rsidRPr="00855477">
        <w:rPr>
          <w:rFonts w:cs="Arial"/>
          <w:color w:val="auto"/>
        </w:rPr>
        <w:t xml:space="preserve"> to undertake this project.</w:t>
      </w:r>
    </w:p>
    <w:p w14:paraId="06EF3A4F" w14:textId="77777777" w:rsidR="00855477" w:rsidRDefault="00A2302D" w:rsidP="00855477">
      <w:pPr>
        <w:pStyle w:val="ListParagraph"/>
        <w:ind w:left="360" w:hanging="360"/>
        <w:rPr>
          <w:rFonts w:cs="Arial"/>
          <w:color w:val="auto"/>
        </w:rPr>
      </w:pPr>
      <w:r w:rsidRPr="00855477">
        <w:rPr>
          <w:rFonts w:cs="Arial"/>
          <w:color w:val="auto"/>
        </w:rPr>
        <w:t>The building could still be used as temporary accommodation on the current layout (7 dwellings), but the addition of more units and improved design for single households is preferred (8 dwellings).</w:t>
      </w:r>
    </w:p>
    <w:p w14:paraId="229CAD43" w14:textId="6C6B390F" w:rsidR="00855477" w:rsidRDefault="00F9345E" w:rsidP="00855477">
      <w:pPr>
        <w:pStyle w:val="ListParagraph"/>
        <w:ind w:left="360" w:hanging="360"/>
        <w:rPr>
          <w:rFonts w:cs="Arial"/>
          <w:color w:val="auto"/>
        </w:rPr>
      </w:pPr>
      <w:r w:rsidRPr="00855477">
        <w:rPr>
          <w:rFonts w:cs="Arial"/>
          <w:color w:val="auto"/>
        </w:rPr>
        <w:t xml:space="preserve">It is proposed that additional intensive support is commissioned in relation to this scheme.  This would be akin to that provided for the new Housing First model.  A further report with respect to this revenue funding will be brought forward, but the cost of the service is estimated at £40k per annum based on current market intelligence for similar services commissioned, with the proposal that this is funded from Homeless </w:t>
      </w:r>
      <w:r w:rsidR="00855477" w:rsidRPr="00855477">
        <w:rPr>
          <w:rFonts w:cs="Arial"/>
          <w:color w:val="auto"/>
        </w:rPr>
        <w:t xml:space="preserve">Prevention </w:t>
      </w:r>
      <w:r w:rsidRPr="00855477">
        <w:rPr>
          <w:rFonts w:cs="Arial"/>
          <w:color w:val="auto"/>
        </w:rPr>
        <w:t>Grant</w:t>
      </w:r>
      <w:r w:rsidR="00855477" w:rsidRPr="00855477">
        <w:rPr>
          <w:rFonts w:cs="Arial"/>
          <w:color w:val="auto"/>
        </w:rPr>
        <w:t xml:space="preserve">.  </w:t>
      </w:r>
      <w:r w:rsidRPr="00855477">
        <w:rPr>
          <w:rFonts w:cs="Arial"/>
          <w:color w:val="auto"/>
        </w:rPr>
        <w:t xml:space="preserve">The operational requirement for this support </w:t>
      </w:r>
      <w:r w:rsidR="00E3518B">
        <w:rPr>
          <w:rFonts w:cs="Arial"/>
          <w:color w:val="auto"/>
        </w:rPr>
        <w:t>will</w:t>
      </w:r>
      <w:r w:rsidRPr="00855477">
        <w:rPr>
          <w:rFonts w:cs="Arial"/>
          <w:color w:val="auto"/>
        </w:rPr>
        <w:t xml:space="preserve"> be kept under annual review, and the support element </w:t>
      </w:r>
      <w:r w:rsidR="00E3518B">
        <w:rPr>
          <w:rFonts w:cs="Arial"/>
          <w:color w:val="auto"/>
        </w:rPr>
        <w:t xml:space="preserve">will be </w:t>
      </w:r>
      <w:r w:rsidRPr="00855477">
        <w:rPr>
          <w:rFonts w:cs="Arial"/>
          <w:color w:val="auto"/>
        </w:rPr>
        <w:t>recommissioned or decommissioned as required, and to fit with strategic delivery plans.</w:t>
      </w:r>
    </w:p>
    <w:p w14:paraId="6FAF9E88" w14:textId="77777777" w:rsidR="00855477" w:rsidRDefault="00855477" w:rsidP="00F9345E">
      <w:pPr>
        <w:pStyle w:val="ListParagraph"/>
        <w:ind w:left="360" w:hanging="360"/>
        <w:rPr>
          <w:rFonts w:cs="Arial"/>
          <w:color w:val="auto"/>
        </w:rPr>
      </w:pPr>
      <w:r w:rsidRPr="00855477">
        <w:rPr>
          <w:rFonts w:cs="Arial"/>
          <w:color w:val="auto"/>
        </w:rPr>
        <w:lastRenderedPageBreak/>
        <w:t xml:space="preserve">It is proposed that this project is funded with the General Fund.  This best meets new regulatory requirements with regard to the HRA.  However, should the property no longer be needed as temporary homeless accommodation, it could be </w:t>
      </w:r>
      <w:r w:rsidR="00F9345E" w:rsidRPr="00855477">
        <w:rPr>
          <w:rFonts w:cs="Arial"/>
          <w:color w:val="auto"/>
        </w:rPr>
        <w:t>transferred into the HRA for permanent lettings at Social Rent.  Any debt balance would transfer from the GF to the HRA at that point.</w:t>
      </w:r>
    </w:p>
    <w:p w14:paraId="224DDEC9" w14:textId="044AE974" w:rsidR="00F9345E" w:rsidRPr="00682FC6" w:rsidRDefault="00F9345E" w:rsidP="00756002">
      <w:pPr>
        <w:pStyle w:val="ListParagraph"/>
        <w:ind w:left="360" w:hanging="360"/>
        <w:rPr>
          <w:rFonts w:ascii="Calibri" w:hAnsi="Calibri" w:cs="Calibri"/>
        </w:rPr>
      </w:pPr>
      <w:r w:rsidRPr="00682FC6">
        <w:rPr>
          <w:rFonts w:cs="Arial"/>
          <w:color w:val="auto"/>
        </w:rPr>
        <w:t>Th</w:t>
      </w:r>
      <w:r w:rsidR="00855477" w:rsidRPr="00682FC6">
        <w:rPr>
          <w:rFonts w:cs="Arial"/>
          <w:color w:val="auto"/>
        </w:rPr>
        <w:t xml:space="preserve">e indicative cost for the acquisition and </w:t>
      </w:r>
      <w:r w:rsidRPr="00682FC6">
        <w:rPr>
          <w:rFonts w:cs="Arial"/>
          <w:color w:val="auto"/>
        </w:rPr>
        <w:t xml:space="preserve">refurbishment of </w:t>
      </w:r>
      <w:r w:rsidR="00855477" w:rsidRPr="00682FC6">
        <w:rPr>
          <w:rFonts w:cs="Arial"/>
          <w:color w:val="auto"/>
        </w:rPr>
        <w:t xml:space="preserve">Roken House is shown in the table below.  </w:t>
      </w:r>
      <w:r w:rsidRPr="00682FC6">
        <w:rPr>
          <w:rFonts w:cs="Arial"/>
          <w:color w:val="auto"/>
        </w:rPr>
        <w:t>Funding would be 40% from using RRTBRs and 60% from borrowing.</w:t>
      </w:r>
      <w:r w:rsidR="00855477" w:rsidRPr="00682FC6">
        <w:rPr>
          <w:rFonts w:cs="Arial"/>
          <w:color w:val="auto"/>
        </w:rPr>
        <w:t xml:space="preserve">  The proposal is that the total financial envelope for this project is </w:t>
      </w:r>
      <w:r w:rsidR="00855477" w:rsidRPr="00191B17">
        <w:rPr>
          <w:rFonts w:cs="Arial"/>
          <w:color w:val="auto"/>
        </w:rPr>
        <w:t>£1,650,000.</w:t>
      </w:r>
    </w:p>
    <w:p w14:paraId="70A709D3" w14:textId="77777777" w:rsidR="00682FC6" w:rsidRPr="00682FC6" w:rsidRDefault="00682FC6" w:rsidP="00682FC6">
      <w:pPr>
        <w:pStyle w:val="ListParagraph"/>
        <w:numPr>
          <w:ilvl w:val="0"/>
          <w:numId w:val="0"/>
        </w:numPr>
        <w:ind w:left="360"/>
        <w:rPr>
          <w:rFonts w:ascii="Calibri" w:hAnsi="Calibri" w:cs="Calibri"/>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095"/>
        <w:gridCol w:w="1276"/>
      </w:tblGrid>
      <w:tr w:rsidR="00F9345E" w14:paraId="3111B9EF"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0689A71" w14:textId="77777777" w:rsidR="00F9345E" w:rsidRDefault="00F9345E">
            <w:pPr>
              <w:rPr>
                <w:rFonts w:ascii="Calibri" w:hAnsi="Calibri" w:cs="Calibri"/>
                <w:b/>
              </w:rPr>
            </w:pPr>
            <w:r>
              <w:rPr>
                <w:rFonts w:ascii="Calibri" w:hAnsi="Calibri" w:cs="Calibri"/>
                <w:b/>
              </w:rPr>
              <w:t>Element</w:t>
            </w:r>
          </w:p>
        </w:tc>
        <w:tc>
          <w:tcPr>
            <w:tcW w:w="609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7F99739" w14:textId="77777777" w:rsidR="00F9345E" w:rsidRDefault="00F9345E">
            <w:pPr>
              <w:rPr>
                <w:rFonts w:ascii="Calibri" w:hAnsi="Calibri" w:cs="Calibri"/>
                <w:b/>
              </w:rPr>
            </w:pPr>
            <w:r>
              <w:rPr>
                <w:rFonts w:ascii="Calibri" w:hAnsi="Calibri" w:cs="Calibri"/>
                <w:b/>
              </w:rPr>
              <w:t>Description</w:t>
            </w:r>
            <w:r w:rsidR="00855477">
              <w:rPr>
                <w:rFonts w:ascii="Calibri" w:hAnsi="Calibri" w:cs="Calibri"/>
                <w:b/>
              </w:rPr>
              <w:t xml:space="preserve"> – Roken House</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D2B4C0F" w14:textId="77777777" w:rsidR="00F9345E" w:rsidRDefault="00F9345E">
            <w:pPr>
              <w:rPr>
                <w:rFonts w:ascii="Calibri" w:hAnsi="Calibri" w:cs="Calibri"/>
                <w:b/>
              </w:rPr>
            </w:pPr>
            <w:r>
              <w:rPr>
                <w:rFonts w:ascii="Calibri" w:hAnsi="Calibri" w:cs="Calibri"/>
                <w:b/>
              </w:rPr>
              <w:t>Cost</w:t>
            </w:r>
          </w:p>
        </w:tc>
      </w:tr>
      <w:tr w:rsidR="00F9345E" w14:paraId="2C3A8F32"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1016E19D" w14:textId="77777777" w:rsidR="00F9345E" w:rsidRDefault="00F9345E">
            <w:pPr>
              <w:rPr>
                <w:rFonts w:ascii="Calibri" w:hAnsi="Calibri" w:cs="Calibri"/>
              </w:rPr>
            </w:pPr>
            <w:r>
              <w:rPr>
                <w:rFonts w:ascii="Calibri" w:hAnsi="Calibri" w:cs="Calibri"/>
              </w:rPr>
              <w:t>Acquisition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8DA0B11" w14:textId="77777777" w:rsidR="00F9345E" w:rsidRDefault="00F9345E">
            <w:pPr>
              <w:rPr>
                <w:rFonts w:ascii="Calibri" w:hAnsi="Calibri" w:cs="Calibri"/>
              </w:rPr>
            </w:pPr>
            <w:r>
              <w:rPr>
                <w:rFonts w:ascii="Calibri" w:hAnsi="Calibri" w:cs="Calibri"/>
              </w:rPr>
              <w:t>Purchase Price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E76C82" w14:textId="77777777" w:rsidR="00F9345E" w:rsidRDefault="00F9345E">
            <w:pPr>
              <w:jc w:val="right"/>
              <w:rPr>
                <w:rFonts w:ascii="Calibri" w:hAnsi="Calibri" w:cs="Calibri"/>
              </w:rPr>
            </w:pPr>
            <w:r>
              <w:rPr>
                <w:rFonts w:ascii="Calibri" w:hAnsi="Calibri" w:cs="Calibri"/>
              </w:rPr>
              <w:t>1,400,000</w:t>
            </w:r>
          </w:p>
        </w:tc>
      </w:tr>
      <w:tr w:rsidR="00F9345E" w14:paraId="696D8C5A"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5D942E14" w14:textId="77777777" w:rsidR="00F9345E" w:rsidRDefault="00F9345E">
            <w:pP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8B8A8F5" w14:textId="49D58293" w:rsidR="00F9345E" w:rsidRPr="00191B17" w:rsidRDefault="00F9345E" w:rsidP="00191B17">
            <w:pPr>
              <w:rPr>
                <w:rFonts w:ascii="Calibri" w:hAnsi="Calibri" w:cs="Calibri"/>
                <w:color w:val="auto"/>
              </w:rPr>
            </w:pPr>
            <w:r w:rsidRPr="00191B17">
              <w:rPr>
                <w:rFonts w:ascii="Calibri" w:hAnsi="Calibri" w:cs="Calibri"/>
                <w:color w:val="auto"/>
              </w:rPr>
              <w:t>S</w:t>
            </w:r>
            <w:r w:rsidR="00191B17" w:rsidRPr="00191B17">
              <w:rPr>
                <w:rFonts w:ascii="Calibri" w:hAnsi="Calibri" w:cs="Calibri"/>
                <w:color w:val="auto"/>
              </w:rPr>
              <w:t>tamp Duty</w:t>
            </w:r>
            <w:r w:rsidR="00B26533" w:rsidRPr="00191B17">
              <w:rPr>
                <w:rFonts w:ascii="Calibri" w:hAnsi="Calibri" w:cs="Calibri"/>
                <w:color w:val="auto"/>
              </w:rPr>
              <w:t xml:space="preserve"> (RP exemption)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3683DC" w14:textId="336CF799" w:rsidR="00F9345E" w:rsidRPr="00191B17" w:rsidRDefault="00B26533">
            <w:pPr>
              <w:jc w:val="right"/>
              <w:rPr>
                <w:rFonts w:ascii="Calibri" w:hAnsi="Calibri" w:cs="Calibri"/>
                <w:color w:val="auto"/>
              </w:rPr>
            </w:pPr>
            <w:r w:rsidRPr="00191B17">
              <w:rPr>
                <w:rFonts w:ascii="Calibri" w:hAnsi="Calibri" w:cs="Calibri"/>
                <w:color w:val="auto"/>
              </w:rPr>
              <w:t>0</w:t>
            </w:r>
          </w:p>
        </w:tc>
      </w:tr>
      <w:tr w:rsidR="00F9345E" w14:paraId="4CB587A6"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2AAE353C" w14:textId="77777777" w:rsidR="00F9345E" w:rsidRDefault="00F9345E">
            <w:pP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83CFEC8" w14:textId="12D11F02" w:rsidR="00F9345E" w:rsidRPr="00191B17" w:rsidRDefault="00F9345E">
            <w:pPr>
              <w:rPr>
                <w:rFonts w:ascii="Calibri" w:hAnsi="Calibri" w:cs="Calibri"/>
                <w:color w:val="auto"/>
              </w:rPr>
            </w:pPr>
            <w:proofErr w:type="spellStart"/>
            <w:r w:rsidRPr="00191B17">
              <w:rPr>
                <w:rFonts w:ascii="Calibri" w:hAnsi="Calibri" w:cs="Calibri"/>
                <w:color w:val="auto"/>
              </w:rPr>
              <w:t>Legals</w:t>
            </w:r>
            <w:proofErr w:type="spellEnd"/>
            <w:r w:rsidRPr="00191B17">
              <w:rPr>
                <w:rFonts w:ascii="Calibri" w:hAnsi="Calibri" w:cs="Calibri"/>
                <w:color w:val="auto"/>
              </w:rPr>
              <w:t>/ Searches</w:t>
            </w:r>
            <w:r w:rsidR="00B26533" w:rsidRPr="00191B17">
              <w:rPr>
                <w:rFonts w:ascii="Calibri" w:hAnsi="Calibri" w:cs="Calibri"/>
                <w:color w:val="auto"/>
              </w:rPr>
              <w:t>/ Surveys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074381" w14:textId="7060280F" w:rsidR="00F9345E" w:rsidRPr="00191B17" w:rsidRDefault="00191B17">
            <w:pPr>
              <w:jc w:val="right"/>
              <w:rPr>
                <w:rFonts w:ascii="Calibri" w:hAnsi="Calibri" w:cs="Calibri"/>
                <w:color w:val="auto"/>
              </w:rPr>
            </w:pPr>
            <w:r w:rsidRPr="00191B17">
              <w:rPr>
                <w:rFonts w:ascii="Calibri" w:hAnsi="Calibri" w:cs="Calibri"/>
                <w:color w:val="auto"/>
              </w:rPr>
              <w:t>2</w:t>
            </w:r>
            <w:r w:rsidR="00F9345E" w:rsidRPr="00191B17">
              <w:rPr>
                <w:rFonts w:ascii="Calibri" w:hAnsi="Calibri" w:cs="Calibri"/>
                <w:color w:val="auto"/>
              </w:rPr>
              <w:t>0,000</w:t>
            </w:r>
          </w:p>
        </w:tc>
      </w:tr>
      <w:tr w:rsidR="00F9345E" w14:paraId="662AA21D"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6B21D8B3" w14:textId="77777777" w:rsidR="00F9345E" w:rsidRDefault="00F9345E">
            <w:pPr>
              <w:rPr>
                <w:rFonts w:ascii="Calibri" w:hAnsi="Calibri" w:cs="Calibri"/>
                <w:b/>
              </w:rPr>
            </w:pPr>
            <w:r>
              <w:rPr>
                <w:rFonts w:ascii="Calibri" w:hAnsi="Calibri" w:cs="Calibri"/>
                <w:b/>
              </w:rPr>
              <w:t>Sub-Total</w:t>
            </w:r>
          </w:p>
        </w:tc>
        <w:tc>
          <w:tcPr>
            <w:tcW w:w="6095" w:type="dxa"/>
            <w:tcBorders>
              <w:top w:val="single" w:sz="4" w:space="0" w:color="auto"/>
              <w:left w:val="single" w:sz="4" w:space="0" w:color="auto"/>
              <w:bottom w:val="single" w:sz="4" w:space="0" w:color="auto"/>
              <w:right w:val="single" w:sz="4" w:space="0" w:color="auto"/>
            </w:tcBorders>
            <w:vAlign w:val="center"/>
          </w:tcPr>
          <w:p w14:paraId="0C832C5D" w14:textId="77777777" w:rsidR="00F9345E" w:rsidRPr="00191B17" w:rsidRDefault="00F9345E">
            <w:pPr>
              <w:rPr>
                <w:rFonts w:ascii="Calibri" w:hAnsi="Calibri" w:cs="Calibri"/>
                <w:color w:val="aut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F499D77" w14:textId="425C3713" w:rsidR="00F9345E" w:rsidRPr="00191B17" w:rsidRDefault="00191B17">
            <w:pPr>
              <w:jc w:val="right"/>
              <w:rPr>
                <w:rFonts w:ascii="Calibri" w:hAnsi="Calibri" w:cs="Calibri"/>
                <w:b/>
                <w:color w:val="auto"/>
              </w:rPr>
            </w:pPr>
            <w:r w:rsidRPr="00191B17">
              <w:rPr>
                <w:rFonts w:ascii="Calibri" w:hAnsi="Calibri" w:cs="Calibri"/>
                <w:b/>
                <w:color w:val="auto"/>
              </w:rPr>
              <w:t>1,42</w:t>
            </w:r>
            <w:r w:rsidR="00F9345E" w:rsidRPr="00191B17">
              <w:rPr>
                <w:rFonts w:ascii="Calibri" w:hAnsi="Calibri" w:cs="Calibri"/>
                <w:b/>
                <w:color w:val="auto"/>
              </w:rPr>
              <w:t>0,000</w:t>
            </w:r>
          </w:p>
        </w:tc>
      </w:tr>
      <w:tr w:rsidR="00F9345E" w14:paraId="5E6D5447"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0C9A221B" w14:textId="77777777" w:rsidR="00F9345E" w:rsidRDefault="00F9345E">
            <w:pPr>
              <w:rPr>
                <w:rFonts w:ascii="Calibri" w:hAnsi="Calibri" w:cs="Calibri"/>
              </w:rPr>
            </w:pPr>
            <w:r>
              <w:rPr>
                <w:rFonts w:ascii="Calibri" w:hAnsi="Calibri" w:cs="Calibri"/>
              </w:rPr>
              <w:t>Refurbishment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01B2B0C" w14:textId="5BD2FAA4" w:rsidR="00F9345E" w:rsidRPr="00191B17" w:rsidRDefault="00F9345E" w:rsidP="00191B17">
            <w:pPr>
              <w:rPr>
                <w:rFonts w:ascii="Calibri" w:hAnsi="Calibri" w:cs="Calibri"/>
                <w:color w:val="auto"/>
              </w:rPr>
            </w:pPr>
            <w:r w:rsidRPr="00191B17">
              <w:rPr>
                <w:rFonts w:ascii="Calibri" w:hAnsi="Calibri" w:cs="Calibri"/>
                <w:color w:val="auto"/>
              </w:rPr>
              <w:t xml:space="preserve">Decent Homes/ Void </w:t>
            </w:r>
            <w:r w:rsidR="00191B17" w:rsidRPr="00191B17">
              <w:rPr>
                <w:rFonts w:ascii="Calibri" w:hAnsi="Calibri" w:cs="Calibri"/>
                <w:color w:val="auto"/>
              </w:rPr>
              <w:t>Works (5 flats, office, common parts)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4F188A" w14:textId="34F4EF27" w:rsidR="00F9345E" w:rsidRPr="00191B17" w:rsidRDefault="00191B17" w:rsidP="00191B17">
            <w:pPr>
              <w:jc w:val="right"/>
              <w:rPr>
                <w:rFonts w:ascii="Calibri" w:hAnsi="Calibri" w:cs="Calibri"/>
                <w:color w:val="auto"/>
              </w:rPr>
            </w:pPr>
            <w:r w:rsidRPr="00191B17">
              <w:rPr>
                <w:rFonts w:ascii="Calibri" w:hAnsi="Calibri" w:cs="Calibri"/>
                <w:color w:val="auto"/>
              </w:rPr>
              <w:t>85</w:t>
            </w:r>
            <w:r w:rsidR="00F9345E" w:rsidRPr="00191B17">
              <w:rPr>
                <w:rFonts w:ascii="Calibri" w:hAnsi="Calibri" w:cs="Calibri"/>
                <w:color w:val="auto"/>
              </w:rPr>
              <w:t>,000</w:t>
            </w:r>
          </w:p>
        </w:tc>
      </w:tr>
      <w:tr w:rsidR="00F9345E" w14:paraId="4A628C73"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693E6CC7" w14:textId="77777777" w:rsidR="00F9345E" w:rsidRDefault="00855477">
            <w:pPr>
              <w:rPr>
                <w:rFonts w:ascii="Calibri" w:hAnsi="Calibri" w:cs="Calibri"/>
              </w:rPr>
            </w:pPr>
            <w:r>
              <w:rPr>
                <w:rFonts w:ascii="Calibri" w:hAnsi="Calibri" w:cs="Calibri"/>
              </w:rPr>
              <w:t>Re-modelling</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ADFF120" w14:textId="77777777" w:rsidR="00F9345E" w:rsidRPr="00191B17" w:rsidRDefault="00F9345E">
            <w:pPr>
              <w:rPr>
                <w:rFonts w:ascii="Calibri" w:hAnsi="Calibri" w:cs="Calibri"/>
                <w:color w:val="auto"/>
              </w:rPr>
            </w:pPr>
            <w:r w:rsidRPr="00191B17">
              <w:rPr>
                <w:rFonts w:ascii="Calibri" w:hAnsi="Calibri" w:cs="Calibri"/>
                <w:color w:val="auto"/>
              </w:rPr>
              <w:t xml:space="preserve">Reconfiguration of first floor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22282" w14:textId="77777777" w:rsidR="00F9345E" w:rsidRPr="00191B17" w:rsidRDefault="00F9345E">
            <w:pPr>
              <w:jc w:val="right"/>
              <w:rPr>
                <w:rFonts w:ascii="Calibri" w:hAnsi="Calibri" w:cs="Calibri"/>
                <w:color w:val="auto"/>
              </w:rPr>
            </w:pPr>
            <w:r w:rsidRPr="00191B17">
              <w:rPr>
                <w:rFonts w:ascii="Calibri" w:hAnsi="Calibri" w:cs="Calibri"/>
                <w:color w:val="auto"/>
              </w:rPr>
              <w:t>100,000</w:t>
            </w:r>
          </w:p>
        </w:tc>
      </w:tr>
      <w:tr w:rsidR="00F9345E" w14:paraId="1BB0661A"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41B2EC99" w14:textId="77777777" w:rsidR="00F9345E" w:rsidRDefault="00F9345E">
            <w:pP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82B74BD" w14:textId="77777777" w:rsidR="00F9345E" w:rsidRPr="00191B17" w:rsidRDefault="00F9345E">
            <w:pPr>
              <w:rPr>
                <w:rFonts w:ascii="Calibri" w:hAnsi="Calibri" w:cs="Calibri"/>
                <w:color w:val="auto"/>
              </w:rPr>
            </w:pPr>
            <w:r w:rsidRPr="00191B17">
              <w:rPr>
                <w:rFonts w:ascii="Calibri" w:hAnsi="Calibri" w:cs="Calibri"/>
                <w:color w:val="auto"/>
              </w:rPr>
              <w:t>Fees at 15% of work value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2A3142" w14:textId="77777777" w:rsidR="00F9345E" w:rsidRPr="00191B17" w:rsidRDefault="00F9345E">
            <w:pPr>
              <w:jc w:val="right"/>
              <w:rPr>
                <w:rFonts w:ascii="Calibri" w:hAnsi="Calibri" w:cs="Calibri"/>
                <w:color w:val="auto"/>
              </w:rPr>
            </w:pPr>
            <w:r w:rsidRPr="00191B17">
              <w:rPr>
                <w:rFonts w:ascii="Calibri" w:hAnsi="Calibri" w:cs="Calibri"/>
                <w:color w:val="auto"/>
              </w:rPr>
              <w:t>15,000</w:t>
            </w:r>
          </w:p>
        </w:tc>
      </w:tr>
      <w:tr w:rsidR="00F9345E" w14:paraId="6E137FAB"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5949C4F7" w14:textId="77777777" w:rsidR="00F9345E" w:rsidRDefault="00F9345E">
            <w:pP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E16298B" w14:textId="14179101" w:rsidR="00F9345E" w:rsidRPr="00191B17" w:rsidRDefault="00F9345E" w:rsidP="00191B17">
            <w:pPr>
              <w:rPr>
                <w:rFonts w:ascii="Calibri" w:hAnsi="Calibri" w:cs="Calibri"/>
                <w:color w:val="auto"/>
              </w:rPr>
            </w:pPr>
            <w:r w:rsidRPr="00191B17">
              <w:rPr>
                <w:rFonts w:ascii="Calibri" w:hAnsi="Calibri" w:cs="Calibri"/>
                <w:color w:val="auto"/>
              </w:rPr>
              <w:t>Project contingency at 1</w:t>
            </w:r>
            <w:r w:rsidR="00191B17" w:rsidRPr="00191B17">
              <w:rPr>
                <w:rFonts w:ascii="Calibri" w:hAnsi="Calibri" w:cs="Calibri"/>
                <w:color w:val="auto"/>
              </w:rPr>
              <w:t>5</w:t>
            </w:r>
            <w:r w:rsidRPr="00191B17">
              <w:rPr>
                <w:rFonts w:ascii="Calibri" w:hAnsi="Calibri" w:cs="Calibri"/>
                <w:color w:val="auto"/>
              </w:rPr>
              <w:t>% of works value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44B654" w14:textId="33005341" w:rsidR="00F9345E" w:rsidRPr="00191B17" w:rsidRDefault="00F9345E" w:rsidP="00191B17">
            <w:pPr>
              <w:jc w:val="right"/>
              <w:rPr>
                <w:rFonts w:ascii="Calibri" w:hAnsi="Calibri" w:cs="Calibri"/>
                <w:color w:val="auto"/>
              </w:rPr>
            </w:pPr>
            <w:r w:rsidRPr="00191B17">
              <w:rPr>
                <w:rFonts w:ascii="Calibri" w:hAnsi="Calibri" w:cs="Calibri"/>
                <w:color w:val="auto"/>
              </w:rPr>
              <w:t>1</w:t>
            </w:r>
            <w:r w:rsidR="00191B17" w:rsidRPr="00191B17">
              <w:rPr>
                <w:rFonts w:ascii="Calibri" w:hAnsi="Calibri" w:cs="Calibri"/>
                <w:color w:val="auto"/>
              </w:rPr>
              <w:t>5</w:t>
            </w:r>
            <w:r w:rsidRPr="00191B17">
              <w:rPr>
                <w:rFonts w:ascii="Calibri" w:hAnsi="Calibri" w:cs="Calibri"/>
                <w:color w:val="auto"/>
              </w:rPr>
              <w:t>,000</w:t>
            </w:r>
          </w:p>
        </w:tc>
      </w:tr>
      <w:tr w:rsidR="00191B17" w14:paraId="66D098F8"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tcPr>
          <w:p w14:paraId="469F39ED" w14:textId="77777777" w:rsidR="00191B17" w:rsidRDefault="00191B17">
            <w:pPr>
              <w:rPr>
                <w:rFonts w:ascii="Calibri" w:hAnsi="Calibri" w:cs="Calibri"/>
                <w:b/>
              </w:rPr>
            </w:pPr>
          </w:p>
        </w:tc>
        <w:tc>
          <w:tcPr>
            <w:tcW w:w="6095" w:type="dxa"/>
            <w:tcBorders>
              <w:top w:val="single" w:sz="4" w:space="0" w:color="auto"/>
              <w:left w:val="single" w:sz="4" w:space="0" w:color="auto"/>
              <w:bottom w:val="single" w:sz="4" w:space="0" w:color="auto"/>
              <w:right w:val="single" w:sz="4" w:space="0" w:color="auto"/>
            </w:tcBorders>
            <w:vAlign w:val="center"/>
          </w:tcPr>
          <w:p w14:paraId="657E1748" w14:textId="6878EA62" w:rsidR="00191B17" w:rsidRPr="00191B17" w:rsidRDefault="00191B17" w:rsidP="00191B17">
            <w:pPr>
              <w:rPr>
                <w:rFonts w:ascii="Calibri" w:hAnsi="Calibri" w:cs="Calibri"/>
                <w:color w:val="auto"/>
              </w:rPr>
            </w:pPr>
            <w:r w:rsidRPr="00191B17">
              <w:rPr>
                <w:rFonts w:ascii="Calibri" w:hAnsi="Calibri" w:cs="Calibri"/>
                <w:color w:val="auto"/>
              </w:rPr>
              <w:t>Project Management resourcing (</w:t>
            </w:r>
            <w:proofErr w:type="spellStart"/>
            <w:r w:rsidRPr="00191B17">
              <w:rPr>
                <w:rFonts w:ascii="Calibri" w:hAnsi="Calibri" w:cs="Calibri"/>
                <w:color w:val="auto"/>
              </w:rPr>
              <w:t>inc</w:t>
            </w:r>
            <w:proofErr w:type="spellEnd"/>
            <w:r w:rsidRPr="00191B17">
              <w:rPr>
                <w:rFonts w:ascii="Calibri" w:hAnsi="Calibri" w:cs="Calibri"/>
                <w:color w:val="auto"/>
              </w:rPr>
              <w:t xml:space="preserve"> </w:t>
            </w:r>
            <w:r w:rsidR="00E3518B">
              <w:rPr>
                <w:rFonts w:ascii="Calibri" w:hAnsi="Calibri" w:cs="Calibri"/>
                <w:color w:val="auto"/>
              </w:rPr>
              <w:t xml:space="preserve">design </w:t>
            </w:r>
            <w:r w:rsidRPr="00191B17">
              <w:rPr>
                <w:rFonts w:ascii="Calibri" w:hAnsi="Calibri" w:cs="Calibri"/>
                <w:color w:val="auto"/>
              </w:rPr>
              <w:t>feasibility work)</w:t>
            </w:r>
          </w:p>
        </w:tc>
        <w:tc>
          <w:tcPr>
            <w:tcW w:w="1276" w:type="dxa"/>
            <w:tcBorders>
              <w:top w:val="single" w:sz="4" w:space="0" w:color="auto"/>
              <w:left w:val="single" w:sz="4" w:space="0" w:color="auto"/>
              <w:bottom w:val="single" w:sz="4" w:space="0" w:color="auto"/>
              <w:right w:val="single" w:sz="4" w:space="0" w:color="auto"/>
            </w:tcBorders>
            <w:vAlign w:val="center"/>
          </w:tcPr>
          <w:p w14:paraId="31500B5C" w14:textId="50178DEA" w:rsidR="00191B17" w:rsidRPr="00191B17" w:rsidRDefault="00191B17" w:rsidP="00191B17">
            <w:pPr>
              <w:jc w:val="right"/>
              <w:rPr>
                <w:rFonts w:ascii="Calibri" w:hAnsi="Calibri" w:cs="Calibri"/>
                <w:color w:val="auto"/>
              </w:rPr>
            </w:pPr>
            <w:r w:rsidRPr="00191B17">
              <w:rPr>
                <w:rFonts w:ascii="Calibri" w:hAnsi="Calibri" w:cs="Calibri"/>
                <w:color w:val="auto"/>
              </w:rPr>
              <w:t>15,000</w:t>
            </w:r>
          </w:p>
        </w:tc>
      </w:tr>
      <w:tr w:rsidR="00F9345E" w14:paraId="26DCF352"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7D15A413" w14:textId="77777777" w:rsidR="00F9345E" w:rsidRDefault="00F9345E">
            <w:pPr>
              <w:rPr>
                <w:rFonts w:ascii="Calibri" w:hAnsi="Calibri" w:cs="Calibri"/>
                <w:b/>
              </w:rPr>
            </w:pPr>
            <w:r>
              <w:rPr>
                <w:rFonts w:ascii="Calibri" w:hAnsi="Calibri" w:cs="Calibri"/>
                <w:b/>
              </w:rPr>
              <w:t>Sub-Total</w:t>
            </w:r>
          </w:p>
        </w:tc>
        <w:tc>
          <w:tcPr>
            <w:tcW w:w="6095" w:type="dxa"/>
            <w:tcBorders>
              <w:top w:val="single" w:sz="4" w:space="0" w:color="auto"/>
              <w:left w:val="single" w:sz="4" w:space="0" w:color="auto"/>
              <w:bottom w:val="single" w:sz="4" w:space="0" w:color="auto"/>
              <w:right w:val="single" w:sz="4" w:space="0" w:color="auto"/>
            </w:tcBorders>
            <w:vAlign w:val="center"/>
          </w:tcPr>
          <w:p w14:paraId="42446EE7" w14:textId="77777777" w:rsidR="00F9345E" w:rsidRPr="00191B17" w:rsidRDefault="00F9345E">
            <w:pPr>
              <w:rPr>
                <w:rFonts w:ascii="Calibri" w:hAnsi="Calibri" w:cs="Calibri"/>
                <w:b/>
                <w:color w:val="aut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65F7373" w14:textId="5675D3EC" w:rsidR="00F9345E" w:rsidRPr="00191B17" w:rsidRDefault="00191B17" w:rsidP="00191B17">
            <w:pPr>
              <w:jc w:val="right"/>
              <w:rPr>
                <w:rFonts w:ascii="Calibri" w:hAnsi="Calibri" w:cs="Calibri"/>
                <w:b/>
                <w:color w:val="auto"/>
              </w:rPr>
            </w:pPr>
            <w:r w:rsidRPr="00191B17">
              <w:rPr>
                <w:rFonts w:ascii="Calibri" w:hAnsi="Calibri" w:cs="Calibri"/>
                <w:b/>
                <w:color w:val="auto"/>
              </w:rPr>
              <w:t>230</w:t>
            </w:r>
            <w:r w:rsidR="00F9345E" w:rsidRPr="00191B17">
              <w:rPr>
                <w:rFonts w:ascii="Calibri" w:hAnsi="Calibri" w:cs="Calibri"/>
                <w:b/>
                <w:color w:val="auto"/>
              </w:rPr>
              <w:t>,000</w:t>
            </w:r>
          </w:p>
        </w:tc>
      </w:tr>
      <w:tr w:rsidR="00F9345E" w14:paraId="4286E67F"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056F63E3" w14:textId="77777777" w:rsidR="00F9345E" w:rsidRDefault="00F9345E">
            <w:pPr>
              <w:rPr>
                <w:rFonts w:ascii="Calibri" w:hAnsi="Calibri" w:cs="Calibri"/>
                <w:b/>
              </w:rPr>
            </w:pPr>
            <w:r>
              <w:rPr>
                <w:rFonts w:ascii="Calibri" w:hAnsi="Calibri" w:cs="Calibri"/>
                <w:b/>
              </w:rPr>
              <w:t>Total</w:t>
            </w:r>
          </w:p>
        </w:tc>
        <w:tc>
          <w:tcPr>
            <w:tcW w:w="6095" w:type="dxa"/>
            <w:tcBorders>
              <w:top w:val="single" w:sz="4" w:space="0" w:color="auto"/>
              <w:left w:val="single" w:sz="4" w:space="0" w:color="auto"/>
              <w:bottom w:val="single" w:sz="4" w:space="0" w:color="auto"/>
              <w:right w:val="single" w:sz="4" w:space="0" w:color="auto"/>
            </w:tcBorders>
            <w:vAlign w:val="center"/>
          </w:tcPr>
          <w:p w14:paraId="1D57BFCD" w14:textId="77777777" w:rsidR="00F9345E" w:rsidRPr="00191B17" w:rsidRDefault="00F9345E">
            <w:pPr>
              <w:rPr>
                <w:rFonts w:ascii="Calibri" w:hAnsi="Calibri" w:cs="Calibri"/>
                <w:b/>
                <w:color w:val="aut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A65E820" w14:textId="77777777" w:rsidR="00F9345E" w:rsidRPr="00191B17" w:rsidRDefault="00F9345E">
            <w:pPr>
              <w:jc w:val="right"/>
              <w:rPr>
                <w:rFonts w:ascii="Calibri" w:hAnsi="Calibri" w:cs="Calibri"/>
                <w:b/>
                <w:color w:val="auto"/>
              </w:rPr>
            </w:pPr>
            <w:r w:rsidRPr="00191B17">
              <w:rPr>
                <w:rFonts w:ascii="Calibri" w:hAnsi="Calibri" w:cs="Calibri"/>
                <w:b/>
                <w:color w:val="auto"/>
              </w:rPr>
              <w:t>1,650,000</w:t>
            </w:r>
          </w:p>
        </w:tc>
      </w:tr>
      <w:tr w:rsidR="00F9345E" w14:paraId="63F8D088"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vAlign w:val="center"/>
            <w:hideMark/>
          </w:tcPr>
          <w:p w14:paraId="4C456BEE" w14:textId="6EC1275A" w:rsidR="00F9345E" w:rsidRDefault="00191B17">
            <w:pPr>
              <w:rPr>
                <w:rFonts w:ascii="Calibri" w:hAnsi="Calibri" w:cs="Calibri"/>
              </w:rPr>
            </w:pPr>
            <w:r>
              <w:rPr>
                <w:rFonts w:ascii="Calibri" w:hAnsi="Calibri" w:cs="Calibri"/>
              </w:rPr>
              <w:t>Subsidy</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E4A627A" w14:textId="77777777" w:rsidR="00F9345E" w:rsidRPr="00191B17" w:rsidRDefault="00F9345E">
            <w:pPr>
              <w:rPr>
                <w:rFonts w:ascii="Calibri" w:hAnsi="Calibri" w:cs="Calibri"/>
                <w:color w:val="auto"/>
              </w:rPr>
            </w:pPr>
            <w:r w:rsidRPr="00191B17">
              <w:rPr>
                <w:rFonts w:ascii="Calibri" w:hAnsi="Calibri" w:cs="Calibri"/>
                <w:color w:val="auto"/>
              </w:rPr>
              <w:t>Modelled assuming RRTBR use @40%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0B412" w14:textId="77777777" w:rsidR="00F9345E" w:rsidRPr="00191B17" w:rsidRDefault="00F9345E">
            <w:pPr>
              <w:jc w:val="right"/>
              <w:rPr>
                <w:rFonts w:ascii="Calibri" w:hAnsi="Calibri" w:cs="Calibri"/>
                <w:color w:val="auto"/>
              </w:rPr>
            </w:pPr>
            <w:r w:rsidRPr="00191B17">
              <w:rPr>
                <w:rFonts w:ascii="Calibri" w:hAnsi="Calibri" w:cs="Calibri"/>
                <w:color w:val="auto"/>
              </w:rPr>
              <w:t>660,000</w:t>
            </w:r>
          </w:p>
        </w:tc>
      </w:tr>
      <w:tr w:rsidR="00F9345E" w14:paraId="3AE20911" w14:textId="77777777" w:rsidTr="00191B17">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64E1DF" w14:textId="77777777" w:rsidR="00F9345E" w:rsidRDefault="00F9345E">
            <w:pPr>
              <w:rPr>
                <w:rFonts w:ascii="Calibri" w:hAnsi="Calibri" w:cs="Calibri"/>
                <w:b/>
              </w:rPr>
            </w:pPr>
            <w:r>
              <w:rPr>
                <w:rFonts w:ascii="Calibri" w:hAnsi="Calibri" w:cs="Calibri"/>
                <w:b/>
              </w:rPr>
              <w:t>Net Cost</w:t>
            </w:r>
          </w:p>
        </w:tc>
        <w:tc>
          <w:tcPr>
            <w:tcW w:w="6095" w:type="dxa"/>
            <w:tcBorders>
              <w:top w:val="single" w:sz="4" w:space="0" w:color="auto"/>
              <w:left w:val="single" w:sz="4" w:space="0" w:color="auto"/>
              <w:bottom w:val="single" w:sz="4" w:space="0" w:color="auto"/>
              <w:right w:val="single" w:sz="4" w:space="0" w:color="auto"/>
            </w:tcBorders>
            <w:shd w:val="clear" w:color="auto" w:fill="D9E2F3"/>
            <w:vAlign w:val="center"/>
          </w:tcPr>
          <w:p w14:paraId="483A1A81" w14:textId="77777777" w:rsidR="00F9345E" w:rsidRPr="00191B17" w:rsidRDefault="00F9345E">
            <w:pPr>
              <w:rPr>
                <w:rFonts w:ascii="Calibri" w:hAnsi="Calibri" w:cs="Calibri"/>
                <w:b/>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8178F51" w14:textId="77777777" w:rsidR="00F9345E" w:rsidRPr="00191B17" w:rsidRDefault="00F9345E">
            <w:pPr>
              <w:jc w:val="right"/>
              <w:rPr>
                <w:rFonts w:ascii="Calibri" w:hAnsi="Calibri" w:cs="Calibri"/>
                <w:b/>
                <w:color w:val="auto"/>
              </w:rPr>
            </w:pPr>
            <w:r w:rsidRPr="00191B17">
              <w:rPr>
                <w:rFonts w:ascii="Calibri" w:hAnsi="Calibri" w:cs="Calibri"/>
                <w:b/>
                <w:color w:val="auto"/>
              </w:rPr>
              <w:t>990,000</w:t>
            </w:r>
          </w:p>
        </w:tc>
      </w:tr>
    </w:tbl>
    <w:p w14:paraId="589093D3" w14:textId="77777777" w:rsidR="00855477" w:rsidRDefault="00855477" w:rsidP="00682FC6">
      <w:pPr>
        <w:rPr>
          <w:rFonts w:cs="Arial"/>
          <w:u w:val="single"/>
        </w:rPr>
      </w:pPr>
    </w:p>
    <w:p w14:paraId="3D83E9C2" w14:textId="77777777" w:rsidR="00855477" w:rsidRPr="00855477" w:rsidRDefault="00855477" w:rsidP="00855477">
      <w:pPr>
        <w:ind w:left="426" w:hanging="426"/>
        <w:rPr>
          <w:rFonts w:cs="Arial"/>
          <w:u w:val="single"/>
        </w:rPr>
      </w:pPr>
      <w:r w:rsidRPr="00855477">
        <w:rPr>
          <w:rFonts w:cs="Arial"/>
          <w:u w:val="single"/>
        </w:rPr>
        <w:t>Acquisition Programme – Focused on ‘Buy-Backs’</w:t>
      </w:r>
    </w:p>
    <w:p w14:paraId="08AB84BB" w14:textId="29746E8F" w:rsidR="0035770D" w:rsidRDefault="0035770D" w:rsidP="0035770D">
      <w:pPr>
        <w:pStyle w:val="ListParagraph"/>
        <w:ind w:left="360" w:hanging="360"/>
        <w:rPr>
          <w:rFonts w:cs="Arial"/>
        </w:rPr>
      </w:pPr>
      <w:r>
        <w:rPr>
          <w:rFonts w:cs="Arial"/>
        </w:rPr>
        <w:t xml:space="preserve">The Council has an active programme buying properties in Oxford, from the private sale market.  Many of the properties that best meet the Council’s financial parameters for this activity, and that provide best value for money, are previous Council properties sold under the Right to </w:t>
      </w:r>
      <w:proofErr w:type="gramStart"/>
      <w:r>
        <w:rPr>
          <w:rFonts w:cs="Arial"/>
        </w:rPr>
        <w:t>Buy</w:t>
      </w:r>
      <w:proofErr w:type="gramEnd"/>
      <w:r>
        <w:rPr>
          <w:rFonts w:cs="Arial"/>
        </w:rPr>
        <w:t>, especially flats where the Council is still the freeholder.</w:t>
      </w:r>
      <w:r w:rsidR="00E566EF">
        <w:rPr>
          <w:rFonts w:cs="Arial"/>
        </w:rPr>
        <w:t xml:space="preserve">  </w:t>
      </w:r>
    </w:p>
    <w:p w14:paraId="370FB7D3" w14:textId="21646F43" w:rsidR="0035770D" w:rsidRDefault="0035770D" w:rsidP="0035770D">
      <w:pPr>
        <w:pStyle w:val="ListParagraph"/>
        <w:ind w:left="360" w:hanging="360"/>
        <w:rPr>
          <w:rFonts w:cs="Arial"/>
        </w:rPr>
      </w:pPr>
      <w:r>
        <w:rPr>
          <w:rFonts w:cs="Arial"/>
        </w:rPr>
        <w:t xml:space="preserve">A more modest programme is proposed going forward (to reflect the lower level of RTB receipts), </w:t>
      </w:r>
      <w:r w:rsidR="00B54AFC">
        <w:rPr>
          <w:rFonts w:cs="Arial"/>
        </w:rPr>
        <w:t xml:space="preserve">the focus </w:t>
      </w:r>
      <w:r w:rsidR="00EF583D">
        <w:rPr>
          <w:rFonts w:cs="Arial"/>
        </w:rPr>
        <w:t xml:space="preserve">will be </w:t>
      </w:r>
      <w:r>
        <w:rPr>
          <w:rFonts w:cs="Arial"/>
        </w:rPr>
        <w:t>on purchasing those properties that provide the best value for money in the HRA in terms of acquisition value and rental income.  The properties will be rented at Social Rent as permanent homes.</w:t>
      </w:r>
    </w:p>
    <w:p w14:paraId="710BF4D6" w14:textId="014DC6F9" w:rsidR="0035770D" w:rsidRDefault="0035770D" w:rsidP="0035770D">
      <w:pPr>
        <w:pStyle w:val="ListParagraph"/>
        <w:ind w:left="360" w:hanging="360"/>
        <w:rPr>
          <w:rFonts w:cs="Arial"/>
        </w:rPr>
      </w:pPr>
      <w:r>
        <w:rPr>
          <w:rFonts w:cs="Arial"/>
        </w:rPr>
        <w:t>The Council may also seek to use funding on the buy-back of units from OCHL (</w:t>
      </w:r>
      <w:r w:rsidR="00E566EF">
        <w:rPr>
          <w:rFonts w:cs="Arial"/>
        </w:rPr>
        <w:t xml:space="preserve">including the ten homes </w:t>
      </w:r>
      <w:r>
        <w:rPr>
          <w:rFonts w:cs="Arial"/>
        </w:rPr>
        <w:t xml:space="preserve">that were transferred previously) to ensure that financial parameters for OCHL and the HRA are met, in being able to let these </w:t>
      </w:r>
      <w:r w:rsidR="00E566EF">
        <w:rPr>
          <w:rFonts w:cs="Arial"/>
        </w:rPr>
        <w:t xml:space="preserve">homes permanently </w:t>
      </w:r>
      <w:r w:rsidR="00E3518B">
        <w:rPr>
          <w:rFonts w:cs="Arial"/>
        </w:rPr>
        <w:t xml:space="preserve">at Social Rent.  Further approvals and delegations with regard to new development schemes, will be recommended to Cabinet in further reports. </w:t>
      </w:r>
    </w:p>
    <w:p w14:paraId="08D89315" w14:textId="1FD6ED70" w:rsidR="00E566EF" w:rsidRDefault="00A13FBF" w:rsidP="004E751E">
      <w:pPr>
        <w:pStyle w:val="ListParagraph"/>
        <w:spacing w:after="240"/>
        <w:ind w:left="357" w:hanging="357"/>
        <w:rPr>
          <w:rFonts w:cs="Arial"/>
        </w:rPr>
      </w:pPr>
      <w:r>
        <w:rPr>
          <w:rFonts w:cs="Arial"/>
        </w:rPr>
        <w:lastRenderedPageBreak/>
        <w:t xml:space="preserve">The draft consultation budget for 2022/23 on, proposes a level of spend for this use based on the forecasts on RTB sales, </w:t>
      </w:r>
      <w:r w:rsidR="00E3518B">
        <w:rPr>
          <w:rFonts w:cs="Arial"/>
        </w:rPr>
        <w:t xml:space="preserve">as </w:t>
      </w:r>
      <w:r>
        <w:rPr>
          <w:rFonts w:cs="Arial"/>
        </w:rPr>
        <w:t>shown above.  In order to continue the acquisition programme in 2021/22 a further in-year budget allocation is proposed.</w:t>
      </w:r>
    </w:p>
    <w:p w14:paraId="2117EF51" w14:textId="2CE3E25A" w:rsidR="00E566EF" w:rsidRPr="008F3301" w:rsidRDefault="00E566EF" w:rsidP="008F3301">
      <w:pPr>
        <w:rPr>
          <w:rFonts w:cs="Arial"/>
          <w:u w:val="single"/>
        </w:rPr>
      </w:pPr>
      <w:r w:rsidRPr="008F3301">
        <w:rPr>
          <w:rFonts w:cs="Arial"/>
          <w:u w:val="single"/>
        </w:rPr>
        <w:t>Development Funding Flexibility</w:t>
      </w:r>
    </w:p>
    <w:p w14:paraId="2627C94D" w14:textId="0C6FCD34" w:rsidR="00E566EF" w:rsidRPr="00392A3F" w:rsidRDefault="00E566EF" w:rsidP="00392A3F">
      <w:pPr>
        <w:pStyle w:val="ListParagraph"/>
        <w:spacing w:after="240"/>
        <w:ind w:left="357" w:hanging="357"/>
        <w:rPr>
          <w:rFonts w:cs="Arial"/>
        </w:rPr>
      </w:pPr>
      <w:r>
        <w:rPr>
          <w:rFonts w:cs="Arial"/>
        </w:rPr>
        <w:t>The increased spend period from the time of a RTB receipt and the time of required spend, from 3 years to 5 years, now also allows for some consideration of this funding source for development activity.  RRTBR funding cannot be combined with another grant or other development subsidy, but opportunities may arise where this is beneficial.  It is proposed that some flexibility could be applied in such an event, using the funding detailed above for acquisition</w:t>
      </w:r>
      <w:r w:rsidR="00877CFA">
        <w:rPr>
          <w:rFonts w:cs="Arial"/>
        </w:rPr>
        <w:t>/ direct development</w:t>
      </w:r>
      <w:r>
        <w:rPr>
          <w:rFonts w:cs="Arial"/>
        </w:rPr>
        <w:t xml:space="preserve"> activity, for this purpose, but within the same overall budget envelope.</w:t>
      </w:r>
    </w:p>
    <w:p w14:paraId="35DB10C9" w14:textId="77777777" w:rsidR="00E44CBF" w:rsidRPr="00AE5F2C" w:rsidRDefault="002329CF">
      <w:pPr>
        <w:rPr>
          <w:b/>
        </w:rPr>
      </w:pPr>
      <w:r w:rsidRPr="00AE5F2C">
        <w:rPr>
          <w:b/>
        </w:rPr>
        <w:t>Financial implications</w:t>
      </w:r>
    </w:p>
    <w:p w14:paraId="301FCF14" w14:textId="77777777" w:rsidR="00385552" w:rsidRPr="000E5B3F" w:rsidRDefault="00675EC2" w:rsidP="005B552F">
      <w:pPr>
        <w:pStyle w:val="ListParagraph"/>
        <w:ind w:left="360" w:hanging="360"/>
        <w:rPr>
          <w:rFonts w:cs="Arial"/>
          <w:color w:val="auto"/>
        </w:rPr>
      </w:pPr>
      <w:r w:rsidRPr="00527D9C">
        <w:rPr>
          <w:color w:val="auto"/>
        </w:rPr>
        <w:t>Th</w:t>
      </w:r>
      <w:r w:rsidR="0018536C">
        <w:rPr>
          <w:color w:val="auto"/>
        </w:rPr>
        <w:t xml:space="preserve">is report seeks the required delegations to further develop the programme of affordable housing supply.  </w:t>
      </w:r>
      <w:r w:rsidR="0018536C" w:rsidRPr="000E5B3F">
        <w:rPr>
          <w:color w:val="auto"/>
        </w:rPr>
        <w:t xml:space="preserve">The decision to proceed with any purchase or development will be supported by a </w:t>
      </w:r>
      <w:r w:rsidR="00385552" w:rsidRPr="000E5B3F">
        <w:rPr>
          <w:color w:val="auto"/>
        </w:rPr>
        <w:t xml:space="preserve">development scheme appraisal/ </w:t>
      </w:r>
      <w:r w:rsidR="0018536C" w:rsidRPr="000E5B3F">
        <w:rPr>
          <w:color w:val="auto"/>
        </w:rPr>
        <w:t>financial model</w:t>
      </w:r>
      <w:r w:rsidR="00385552" w:rsidRPr="000E5B3F">
        <w:rPr>
          <w:color w:val="auto"/>
        </w:rPr>
        <w:t>ling to ensure that financial parameters and requirements are met.</w:t>
      </w:r>
    </w:p>
    <w:p w14:paraId="4F5806DC" w14:textId="77777777" w:rsidR="00A13FBF" w:rsidRPr="000E5B3F" w:rsidRDefault="0018536C" w:rsidP="00F9345E">
      <w:pPr>
        <w:pStyle w:val="ListParagraph"/>
        <w:ind w:left="360" w:hanging="360"/>
        <w:rPr>
          <w:rFonts w:cs="Arial"/>
          <w:color w:val="auto"/>
        </w:rPr>
      </w:pPr>
      <w:r w:rsidRPr="000E5B3F">
        <w:rPr>
          <w:color w:val="auto"/>
        </w:rPr>
        <w:t xml:space="preserve"> </w:t>
      </w:r>
      <w:r w:rsidR="00933E85" w:rsidRPr="000E5B3F">
        <w:rPr>
          <w:color w:val="auto"/>
        </w:rPr>
        <w:t>In the event that the Council secures an opportunity for the purchase of a site/ multiple unit development, then the purchase price is likely to exceed general delegations (up to £500k).  For this reason, this report recommends a further delegation to the Chief Executive, to provide for this circumstance and to allow the Council to move rapidly to enter into agreement should it wish to.</w:t>
      </w:r>
    </w:p>
    <w:p w14:paraId="625B0BF3" w14:textId="5B78A5AC" w:rsidR="00682FC6" w:rsidRPr="00682FC6" w:rsidRDefault="00F9345E" w:rsidP="00682FC6">
      <w:pPr>
        <w:pStyle w:val="ListParagraph"/>
        <w:ind w:left="360" w:hanging="360"/>
        <w:rPr>
          <w:rFonts w:cs="Arial"/>
          <w:color w:val="auto"/>
        </w:rPr>
      </w:pPr>
      <w:r w:rsidRPr="00A13FBF">
        <w:rPr>
          <w:rFonts w:cs="Arial"/>
          <w:color w:val="auto"/>
        </w:rPr>
        <w:t>Roken</w:t>
      </w:r>
      <w:r w:rsidR="0039674C" w:rsidRPr="00A13FBF">
        <w:rPr>
          <w:rFonts w:cs="Arial"/>
          <w:color w:val="auto"/>
        </w:rPr>
        <w:t xml:space="preserve"> House has been assessed </w:t>
      </w:r>
      <w:r w:rsidR="00A13FBF" w:rsidRPr="00A13FBF">
        <w:rPr>
          <w:rFonts w:cs="Arial"/>
          <w:color w:val="auto"/>
        </w:rPr>
        <w:t xml:space="preserve">as a General Fund scheme using a 50 year revenue model, </w:t>
      </w:r>
      <w:r w:rsidRPr="00A13FBF">
        <w:rPr>
          <w:rFonts w:cs="Arial"/>
          <w:color w:val="auto"/>
        </w:rPr>
        <w:t xml:space="preserve">including </w:t>
      </w:r>
      <w:r w:rsidR="00A13FBF" w:rsidRPr="00A13FBF">
        <w:rPr>
          <w:rFonts w:cs="Arial"/>
          <w:color w:val="auto"/>
        </w:rPr>
        <w:t xml:space="preserve">Minimum Revenue Provision and borrowing costs.  This shows </w:t>
      </w:r>
      <w:r w:rsidRPr="00A13FBF">
        <w:rPr>
          <w:rFonts w:cs="Arial"/>
          <w:color w:val="auto"/>
        </w:rPr>
        <w:t xml:space="preserve">a viable scheme, producing 8 one-bed flats, and yielding a </w:t>
      </w:r>
      <w:r w:rsidRPr="00682FC6">
        <w:rPr>
          <w:rFonts w:cs="Arial"/>
          <w:color w:val="auto"/>
        </w:rPr>
        <w:t>surplus over</w:t>
      </w:r>
      <w:r w:rsidRPr="00A13FBF">
        <w:rPr>
          <w:rFonts w:cs="Arial"/>
          <w:color w:val="auto"/>
        </w:rPr>
        <w:t xml:space="preserve"> the 50 year period.</w:t>
      </w:r>
    </w:p>
    <w:p w14:paraId="03BDA203" w14:textId="77777777" w:rsidR="002A258E" w:rsidRPr="00682FC6" w:rsidRDefault="002A258E" w:rsidP="002A258E">
      <w:pPr>
        <w:pStyle w:val="Heading1"/>
        <w:rPr>
          <w:color w:val="auto"/>
        </w:rPr>
      </w:pPr>
      <w:r w:rsidRPr="00682FC6">
        <w:rPr>
          <w:color w:val="auto"/>
        </w:rPr>
        <w:t>Legal issues</w:t>
      </w:r>
    </w:p>
    <w:p w14:paraId="1CFD09C9" w14:textId="0D16330B" w:rsidR="00EF583D" w:rsidRPr="00682FC6" w:rsidRDefault="00EF583D" w:rsidP="000E5B3F">
      <w:pPr>
        <w:pStyle w:val="ListParagraph"/>
        <w:ind w:left="360" w:hanging="360"/>
        <w:rPr>
          <w:rFonts w:cs="Arial"/>
          <w:color w:val="auto"/>
        </w:rPr>
      </w:pPr>
      <w:r w:rsidRPr="00682FC6">
        <w:rPr>
          <w:rFonts w:cs="Arial"/>
          <w:color w:val="auto"/>
        </w:rPr>
        <w:t xml:space="preserve">The Council entered into an agreement with the Secretary of State in September 2012 pursuant to Section 11(6) of Local Government Act 2003, which allows the Council to use capital receipts generated from Right to </w:t>
      </w:r>
      <w:proofErr w:type="gramStart"/>
      <w:r w:rsidRPr="00682FC6">
        <w:rPr>
          <w:rFonts w:cs="Arial"/>
          <w:color w:val="auto"/>
        </w:rPr>
        <w:t>Buy</w:t>
      </w:r>
      <w:proofErr w:type="gramEnd"/>
      <w:r w:rsidRPr="00682FC6">
        <w:rPr>
          <w:rFonts w:cs="Arial"/>
          <w:color w:val="auto"/>
        </w:rPr>
        <w:t xml:space="preserve"> sales for the provision of social housing. Right to </w:t>
      </w:r>
      <w:proofErr w:type="gramStart"/>
      <w:r w:rsidR="00682FC6" w:rsidRPr="00682FC6">
        <w:rPr>
          <w:rFonts w:cs="Arial"/>
          <w:color w:val="auto"/>
        </w:rPr>
        <w:t>B</w:t>
      </w:r>
      <w:r w:rsidRPr="00682FC6">
        <w:rPr>
          <w:rFonts w:cs="Arial"/>
          <w:color w:val="auto"/>
        </w:rPr>
        <w:t>uy</w:t>
      </w:r>
      <w:proofErr w:type="gramEnd"/>
      <w:r w:rsidRPr="00682FC6">
        <w:rPr>
          <w:rFonts w:cs="Arial"/>
          <w:color w:val="auto"/>
        </w:rPr>
        <w:t xml:space="preserve"> receipts must be applied in accordance with the agreement and relevant legi</w:t>
      </w:r>
      <w:r w:rsidR="00C47DAE" w:rsidRPr="00682FC6">
        <w:rPr>
          <w:rFonts w:cs="Arial"/>
          <w:color w:val="auto"/>
        </w:rPr>
        <w:t>slation</w:t>
      </w:r>
      <w:r w:rsidRPr="00682FC6">
        <w:rPr>
          <w:rFonts w:cs="Arial"/>
          <w:color w:val="auto"/>
        </w:rPr>
        <w:t xml:space="preserve">. The proposals set out in this report are in accordance with the agreement referred to above. </w:t>
      </w:r>
    </w:p>
    <w:p w14:paraId="74F3ED96" w14:textId="08E20E58" w:rsidR="00E566EF" w:rsidRPr="008F3301" w:rsidRDefault="0066282C" w:rsidP="008F3301">
      <w:pPr>
        <w:pStyle w:val="ListParagraph"/>
        <w:ind w:left="360" w:hanging="360"/>
        <w:rPr>
          <w:rFonts w:cs="Arial"/>
          <w:color w:val="auto"/>
        </w:rPr>
      </w:pPr>
      <w:r w:rsidRPr="00682FC6">
        <w:rPr>
          <w:rFonts w:cs="Arial"/>
          <w:color w:val="auto"/>
        </w:rPr>
        <w:t xml:space="preserve">It is proposed that any conveyancing for </w:t>
      </w:r>
      <w:r w:rsidR="000E5B3F" w:rsidRPr="00682FC6">
        <w:rPr>
          <w:rFonts w:cs="Arial"/>
          <w:color w:val="auto"/>
        </w:rPr>
        <w:t xml:space="preserve">the </w:t>
      </w:r>
      <w:r w:rsidRPr="00682FC6">
        <w:rPr>
          <w:rFonts w:cs="Arial"/>
          <w:color w:val="auto"/>
        </w:rPr>
        <w:t>acquisition programme continues to be undertaken using existing resource provision available to the Council.</w:t>
      </w:r>
    </w:p>
    <w:p w14:paraId="08EE5502" w14:textId="0BF69DBF" w:rsidR="00E566EF" w:rsidRPr="00E566EF" w:rsidRDefault="00E566EF" w:rsidP="00392A3F">
      <w:pPr>
        <w:pStyle w:val="ListParagraph"/>
        <w:spacing w:after="240"/>
        <w:ind w:left="357" w:hanging="357"/>
        <w:rPr>
          <w:rFonts w:cs="Arial"/>
          <w:color w:val="auto"/>
        </w:rPr>
      </w:pPr>
      <w:r w:rsidRPr="008F3301">
        <w:rPr>
          <w:bCs/>
          <w:color w:val="auto"/>
        </w:rPr>
        <w:t xml:space="preserve">The purchase of Roken House is exempt from </w:t>
      </w:r>
      <w:r>
        <w:rPr>
          <w:bCs/>
          <w:color w:val="auto"/>
        </w:rPr>
        <w:t>Stamp Duty (</w:t>
      </w:r>
      <w:r w:rsidRPr="008F3301">
        <w:rPr>
          <w:bCs/>
          <w:color w:val="auto"/>
        </w:rPr>
        <w:t>SDLT</w:t>
      </w:r>
      <w:r>
        <w:rPr>
          <w:bCs/>
          <w:color w:val="auto"/>
        </w:rPr>
        <w:t>)</w:t>
      </w:r>
      <w:r w:rsidRPr="008F3301">
        <w:rPr>
          <w:bCs/>
          <w:color w:val="auto"/>
        </w:rPr>
        <w:t xml:space="preserve"> under s71 of the Finance Act 2003, as per the HMRC SDLT manual</w:t>
      </w:r>
      <w:r>
        <w:rPr>
          <w:bCs/>
          <w:color w:val="auto"/>
        </w:rPr>
        <w:t>, as the vendor and the Council both have Registered Provider status.</w:t>
      </w:r>
    </w:p>
    <w:p w14:paraId="68BD0F5F" w14:textId="77777777" w:rsidR="00CE35E8" w:rsidRPr="00682FC6" w:rsidRDefault="00CE35E8" w:rsidP="0053400A">
      <w:pPr>
        <w:rPr>
          <w:rFonts w:cs="Arial"/>
          <w:color w:val="auto"/>
          <w:lang w:val="en-US"/>
        </w:rPr>
      </w:pPr>
      <w:r w:rsidRPr="00682FC6">
        <w:rPr>
          <w:b/>
          <w:color w:val="auto"/>
        </w:rPr>
        <w:t>Level of risk</w:t>
      </w:r>
    </w:p>
    <w:p w14:paraId="38039677" w14:textId="46BD3DD8" w:rsidR="00F62CB2" w:rsidRPr="00A13FBF" w:rsidRDefault="00CE35E8" w:rsidP="00527D9C">
      <w:pPr>
        <w:pStyle w:val="ListParagraph"/>
        <w:rPr>
          <w:rFonts w:cs="Arial"/>
        </w:rPr>
      </w:pPr>
      <w:r w:rsidRPr="001356F1">
        <w:t>A</w:t>
      </w:r>
      <w:r>
        <w:t xml:space="preserve"> </w:t>
      </w:r>
      <w:r w:rsidRPr="001356F1">
        <w:t xml:space="preserve">Risk Register </w:t>
      </w:r>
      <w:r>
        <w:t>is provided at A</w:t>
      </w:r>
      <w:r w:rsidRPr="001356F1">
        <w:t>ppendix</w:t>
      </w:r>
      <w:r>
        <w:t xml:space="preserve"> </w:t>
      </w:r>
      <w:r w:rsidR="00F4106C">
        <w:t>2</w:t>
      </w:r>
      <w:r w:rsidRPr="001356F1">
        <w:t xml:space="preserve">. </w:t>
      </w:r>
      <w:r w:rsidR="005B552F">
        <w:t>The main risk identified</w:t>
      </w:r>
      <w:r w:rsidR="00F4106C">
        <w:t xml:space="preserve"> is not spending RRTBRs </w:t>
      </w:r>
      <w:r w:rsidR="005B552F">
        <w:t>within the deadline from the time of receipt</w:t>
      </w:r>
      <w:r w:rsidR="00682FC6">
        <w:t xml:space="preserve"> (now five years, extended from three)</w:t>
      </w:r>
      <w:r w:rsidR="005B552F">
        <w:t xml:space="preserve">, and thereby being </w:t>
      </w:r>
      <w:r w:rsidR="005B552F" w:rsidRPr="00A13FBF">
        <w:rPr>
          <w:rFonts w:cs="Arial"/>
        </w:rPr>
        <w:t>required to return the funds to Government with interest applied from the time of receipt.</w:t>
      </w:r>
    </w:p>
    <w:p w14:paraId="7CB01CBB" w14:textId="7825338B" w:rsidR="00F9345E" w:rsidRPr="00A13FBF" w:rsidRDefault="00F9345E" w:rsidP="00A13FBF">
      <w:pPr>
        <w:pStyle w:val="ListParagraph"/>
        <w:ind w:left="360" w:hanging="360"/>
        <w:rPr>
          <w:rFonts w:cs="Arial"/>
          <w:color w:val="auto"/>
        </w:rPr>
      </w:pPr>
      <w:r w:rsidRPr="00A13FBF">
        <w:rPr>
          <w:rFonts w:cs="Arial"/>
        </w:rPr>
        <w:lastRenderedPageBreak/>
        <w:t xml:space="preserve">In order to ensure that the on-going use of </w:t>
      </w:r>
      <w:r w:rsidR="00A13FBF" w:rsidRPr="00A13FBF">
        <w:rPr>
          <w:rFonts w:cs="Arial"/>
        </w:rPr>
        <w:t xml:space="preserve">Roken House </w:t>
      </w:r>
      <w:r w:rsidRPr="00A13FBF">
        <w:rPr>
          <w:rFonts w:cs="Arial"/>
        </w:rPr>
        <w:t>is future-proofed, a viable exit strategy has been  identified and appraised (including a financial appraisal) to be assured</w:t>
      </w:r>
      <w:r w:rsidR="00682FC6">
        <w:rPr>
          <w:rFonts w:cs="Arial"/>
        </w:rPr>
        <w:t xml:space="preserve"> that the units can be used for</w:t>
      </w:r>
      <w:r w:rsidR="00A13FBF" w:rsidRPr="00A13FBF">
        <w:rPr>
          <w:rFonts w:cs="Arial"/>
        </w:rPr>
        <w:t xml:space="preserve"> permanent lets in the HRA</w:t>
      </w:r>
      <w:r w:rsidRPr="00A13FBF">
        <w:rPr>
          <w:rFonts w:cs="Arial"/>
        </w:rPr>
        <w:t xml:space="preserve">, should the </w:t>
      </w:r>
      <w:r w:rsidR="00A13FBF" w:rsidRPr="00A13FBF">
        <w:rPr>
          <w:rFonts w:cs="Arial"/>
        </w:rPr>
        <w:t>temporary accommodation use</w:t>
      </w:r>
      <w:r w:rsidRPr="00A13FBF">
        <w:rPr>
          <w:rFonts w:cs="Arial"/>
        </w:rPr>
        <w:t xml:space="preserve"> no longer be required.  </w:t>
      </w:r>
    </w:p>
    <w:p w14:paraId="0B4B3968" w14:textId="77777777" w:rsidR="002329CF" w:rsidRPr="001356F1" w:rsidRDefault="002329CF" w:rsidP="0050321C">
      <w:pPr>
        <w:pStyle w:val="Heading1"/>
      </w:pPr>
      <w:r w:rsidRPr="001356F1">
        <w:t xml:space="preserve">Equalities impact </w:t>
      </w:r>
    </w:p>
    <w:p w14:paraId="5FE60DD7" w14:textId="0ABFFDDE" w:rsidR="0066282C" w:rsidRDefault="00CE35E8" w:rsidP="00DB167B">
      <w:pPr>
        <w:pStyle w:val="ListParagraph"/>
      </w:pPr>
      <w:r w:rsidRPr="001356F1">
        <w:t>A</w:t>
      </w:r>
      <w:r>
        <w:t xml:space="preserve">n </w:t>
      </w:r>
      <w:r w:rsidRPr="001356F1">
        <w:t xml:space="preserve">Equalities Impact Assessment </w:t>
      </w:r>
      <w:r>
        <w:t>is provided at A</w:t>
      </w:r>
      <w:r w:rsidRPr="001356F1">
        <w:t>ppendix</w:t>
      </w:r>
      <w:r w:rsidR="00965FD0">
        <w:t xml:space="preserve"> </w:t>
      </w:r>
      <w:r w:rsidR="00F4106C">
        <w:t>3</w:t>
      </w:r>
      <w:r w:rsidRPr="001356F1">
        <w:t xml:space="preserve">. </w:t>
      </w:r>
      <w:r>
        <w:t xml:space="preserve">  There are no adverse impacts in undertaking this activity, with the potential to improve provision for </w:t>
      </w:r>
      <w:r w:rsidR="00E84578">
        <w:t>persons in housing need</w:t>
      </w:r>
      <w:r w:rsidR="008F3301">
        <w:t>, through the provision of more affordable and accessible housing, and supported accommodation to better meet client needs</w:t>
      </w:r>
      <w:r>
        <w:t>.</w:t>
      </w:r>
    </w:p>
    <w:p w14:paraId="17ADE0C0" w14:textId="77777777"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14:paraId="70546D54" w14:textId="77777777"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493F1F5" w14:textId="77777777"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AB5ED11" w14:textId="77777777" w:rsidR="00CE35E8" w:rsidRPr="001356F1" w:rsidRDefault="00CE35E8" w:rsidP="006914A9">
            <w:r>
              <w:t>Dave Scholes</w:t>
            </w:r>
          </w:p>
        </w:tc>
      </w:tr>
      <w:tr w:rsidR="00CE35E8" w:rsidRPr="001356F1" w14:paraId="6106A6A4" w14:textId="77777777" w:rsidTr="006914A9">
        <w:trPr>
          <w:cantSplit/>
          <w:trHeight w:val="396"/>
        </w:trPr>
        <w:tc>
          <w:tcPr>
            <w:tcW w:w="3969" w:type="dxa"/>
            <w:tcBorders>
              <w:top w:val="single" w:sz="8" w:space="0" w:color="000000"/>
              <w:left w:val="single" w:sz="8" w:space="0" w:color="000000"/>
              <w:bottom w:val="nil"/>
              <w:right w:val="nil"/>
            </w:tcBorders>
            <w:shd w:val="clear" w:color="auto" w:fill="auto"/>
          </w:tcPr>
          <w:p w14:paraId="71F32CA5" w14:textId="77777777"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14:paraId="19049CF8" w14:textId="77777777" w:rsidR="00CE35E8" w:rsidRPr="001356F1" w:rsidRDefault="00D376FA" w:rsidP="00D376FA">
            <w:r>
              <w:t xml:space="preserve">Affordable </w:t>
            </w:r>
            <w:r w:rsidR="00CE35E8">
              <w:t>Housing S</w:t>
            </w:r>
            <w:r>
              <w:t>upply Corporate Lead</w:t>
            </w:r>
          </w:p>
        </w:tc>
      </w:tr>
      <w:tr w:rsidR="00CE35E8" w:rsidRPr="001356F1" w14:paraId="11C78A21" w14:textId="77777777" w:rsidTr="006914A9">
        <w:trPr>
          <w:cantSplit/>
          <w:trHeight w:val="396"/>
        </w:trPr>
        <w:tc>
          <w:tcPr>
            <w:tcW w:w="3969" w:type="dxa"/>
            <w:tcBorders>
              <w:top w:val="nil"/>
              <w:left w:val="single" w:sz="8" w:space="0" w:color="000000"/>
              <w:bottom w:val="nil"/>
              <w:right w:val="nil"/>
            </w:tcBorders>
            <w:shd w:val="clear" w:color="auto" w:fill="auto"/>
          </w:tcPr>
          <w:p w14:paraId="5733C588" w14:textId="77777777"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14:paraId="782DD815" w14:textId="77777777" w:rsidR="00CE35E8" w:rsidRPr="001356F1" w:rsidRDefault="00CE35E8" w:rsidP="00D376FA">
            <w:r>
              <w:t xml:space="preserve">Housing </w:t>
            </w:r>
            <w:r w:rsidR="00D376FA">
              <w:t>Services</w:t>
            </w:r>
          </w:p>
        </w:tc>
      </w:tr>
      <w:tr w:rsidR="00CE35E8" w:rsidRPr="001356F1" w14:paraId="518A536F" w14:textId="77777777" w:rsidTr="006914A9">
        <w:trPr>
          <w:cantSplit/>
          <w:trHeight w:val="396"/>
        </w:trPr>
        <w:tc>
          <w:tcPr>
            <w:tcW w:w="3969" w:type="dxa"/>
            <w:tcBorders>
              <w:top w:val="nil"/>
              <w:left w:val="single" w:sz="8" w:space="0" w:color="000000"/>
              <w:bottom w:val="nil"/>
              <w:right w:val="nil"/>
            </w:tcBorders>
            <w:shd w:val="clear" w:color="auto" w:fill="auto"/>
          </w:tcPr>
          <w:p w14:paraId="2F0AC811" w14:textId="77777777"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14:paraId="4BA9F0DE" w14:textId="77777777" w:rsidR="00CE35E8" w:rsidRPr="001356F1" w:rsidRDefault="00CE35E8" w:rsidP="006914A9">
            <w:r w:rsidRPr="001356F1">
              <w:t xml:space="preserve">01865 </w:t>
            </w:r>
            <w:r>
              <w:t>252636</w:t>
            </w:r>
            <w:r w:rsidRPr="001356F1">
              <w:t xml:space="preserve">  </w:t>
            </w:r>
          </w:p>
        </w:tc>
      </w:tr>
      <w:tr w:rsidR="00CE35E8" w:rsidRPr="001356F1" w14:paraId="61E6196C" w14:textId="77777777" w:rsidTr="006914A9">
        <w:trPr>
          <w:cantSplit/>
          <w:trHeight w:val="396"/>
        </w:trPr>
        <w:tc>
          <w:tcPr>
            <w:tcW w:w="3969" w:type="dxa"/>
            <w:tcBorders>
              <w:top w:val="nil"/>
              <w:left w:val="single" w:sz="8" w:space="0" w:color="000000"/>
              <w:bottom w:val="single" w:sz="8" w:space="0" w:color="000000"/>
              <w:right w:val="nil"/>
            </w:tcBorders>
            <w:shd w:val="clear" w:color="auto" w:fill="auto"/>
          </w:tcPr>
          <w:p w14:paraId="42AF9A8C" w14:textId="77777777"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5C8C2CD" w14:textId="77777777" w:rsidR="00CE35E8" w:rsidRPr="001356F1" w:rsidRDefault="00CE35E8" w:rsidP="006914A9">
            <w:pPr>
              <w:rPr>
                <w:rStyle w:val="Hyperlink"/>
                <w:color w:val="000000"/>
              </w:rPr>
            </w:pPr>
            <w:r>
              <w:rPr>
                <w:rStyle w:val="Hyperlink"/>
                <w:color w:val="000000"/>
              </w:rPr>
              <w:t>dscholes@oxford.gov.uk</w:t>
            </w:r>
          </w:p>
        </w:tc>
      </w:tr>
    </w:tbl>
    <w:p w14:paraId="2064CCA6" w14:textId="77777777" w:rsidR="00A73E55" w:rsidRDefault="00A73E55">
      <w:pPr>
        <w:spacing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92A3F" w:rsidRPr="001356F1" w14:paraId="4967842A" w14:textId="77777777" w:rsidTr="00BC1D0C">
        <w:tc>
          <w:tcPr>
            <w:tcW w:w="8931" w:type="dxa"/>
            <w:tcBorders>
              <w:top w:val="single" w:sz="4" w:space="0" w:color="auto"/>
              <w:left w:val="single" w:sz="4" w:space="0" w:color="auto"/>
              <w:bottom w:val="single" w:sz="8" w:space="0" w:color="000000"/>
              <w:right w:val="single" w:sz="4" w:space="0" w:color="auto"/>
            </w:tcBorders>
            <w:shd w:val="clear" w:color="auto" w:fill="auto"/>
          </w:tcPr>
          <w:p w14:paraId="149F96C3" w14:textId="77777777" w:rsidR="00392A3F" w:rsidRPr="001356F1" w:rsidRDefault="00392A3F" w:rsidP="00BC1D0C">
            <w:r w:rsidRPr="001356F1">
              <w:rPr>
                <w:rStyle w:val="Firstpagetablebold"/>
              </w:rPr>
              <w:t xml:space="preserve">Background Papers: </w:t>
            </w:r>
            <w:r>
              <w:rPr>
                <w:rStyle w:val="Firstpagetablebold"/>
              </w:rPr>
              <w:t xml:space="preserve">                       </w:t>
            </w:r>
            <w:r w:rsidRPr="00392A3F">
              <w:rPr>
                <w:rStyle w:val="Firstpagetablebold"/>
                <w:b w:val="0"/>
              </w:rPr>
              <w:t>None</w:t>
            </w:r>
          </w:p>
        </w:tc>
      </w:tr>
    </w:tbl>
    <w:p w14:paraId="560BC595" w14:textId="167207FA" w:rsidR="00A13FBF" w:rsidRDefault="00A13FBF">
      <w:pPr>
        <w:spacing w:after="0"/>
        <w:rPr>
          <w:b/>
        </w:rPr>
      </w:pPr>
    </w:p>
    <w:sectPr w:rsidR="00A13FBF"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564E" w14:textId="77777777" w:rsidR="007F506F" w:rsidRDefault="007F506F" w:rsidP="004A6D2F">
      <w:r>
        <w:separator/>
      </w:r>
    </w:p>
  </w:endnote>
  <w:endnote w:type="continuationSeparator" w:id="0">
    <w:p w14:paraId="3E55A516" w14:textId="77777777" w:rsidR="007F506F" w:rsidRDefault="007F506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F75C" w14:textId="77777777" w:rsidR="00364FAD" w:rsidRDefault="00364FAD" w:rsidP="004A6D2F">
    <w:pPr>
      <w:pStyle w:val="Footer"/>
    </w:pPr>
    <w:r>
      <w:t>Do not use a footer or page numbers.</w:t>
    </w:r>
  </w:p>
  <w:p w14:paraId="5E1B3DE4" w14:textId="77777777" w:rsidR="00364FAD" w:rsidRDefault="00364FAD" w:rsidP="004A6D2F">
    <w:pPr>
      <w:pStyle w:val="Footer"/>
    </w:pPr>
  </w:p>
  <w:p w14:paraId="562239E1"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8572"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20C2" w14:textId="77777777" w:rsidR="007F506F" w:rsidRDefault="007F506F" w:rsidP="004A6D2F">
      <w:r>
        <w:separator/>
      </w:r>
    </w:p>
  </w:footnote>
  <w:footnote w:type="continuationSeparator" w:id="0">
    <w:p w14:paraId="7A029814" w14:textId="77777777" w:rsidR="007F506F" w:rsidRDefault="007F506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1350" w14:textId="77777777" w:rsidR="00D5547E" w:rsidRDefault="00CE35E8" w:rsidP="00D5547E">
    <w:pPr>
      <w:pStyle w:val="Header"/>
      <w:jc w:val="right"/>
    </w:pPr>
    <w:r>
      <w:rPr>
        <w:noProof/>
      </w:rPr>
      <w:drawing>
        <wp:inline distT="0" distB="0" distL="0" distR="0" wp14:anchorId="56E07F8D" wp14:editId="7D8A204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50B2BCA"/>
    <w:multiLevelType w:val="hybridMultilevel"/>
    <w:tmpl w:val="2F5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6A17F2"/>
    <w:multiLevelType w:val="hybridMultilevel"/>
    <w:tmpl w:val="A43AF5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D27EED"/>
    <w:multiLevelType w:val="hybridMultilevel"/>
    <w:tmpl w:val="3FAC028A"/>
    <w:lvl w:ilvl="0" w:tplc="9140D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24C7173"/>
    <w:multiLevelType w:val="hybridMultilevel"/>
    <w:tmpl w:val="44E445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84B0F36"/>
    <w:multiLevelType w:val="hybridMultilevel"/>
    <w:tmpl w:val="47B8E102"/>
    <w:lvl w:ilvl="0" w:tplc="1E724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A310AE"/>
    <w:multiLevelType w:val="multilevel"/>
    <w:tmpl w:val="F7DC710A"/>
    <w:lvl w:ilvl="0">
      <w:start w:val="1"/>
      <w:numFmt w:val="decimal"/>
      <w:lvlText w:val="%1."/>
      <w:lvlJc w:val="left"/>
      <w:pPr>
        <w:ind w:left="114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30" w15:restartNumberingAfterBreak="0">
    <w:nsid w:val="4D00324B"/>
    <w:multiLevelType w:val="hybridMultilevel"/>
    <w:tmpl w:val="0A7EEF52"/>
    <w:lvl w:ilvl="0" w:tplc="B8AC29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0D16B5"/>
    <w:multiLevelType w:val="hybridMultilevel"/>
    <w:tmpl w:val="B308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0323BC"/>
    <w:multiLevelType w:val="hybridMultilevel"/>
    <w:tmpl w:val="32EE4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1223E2"/>
    <w:multiLevelType w:val="hybridMultilevel"/>
    <w:tmpl w:val="AC8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48C240E"/>
    <w:multiLevelType w:val="hybridMultilevel"/>
    <w:tmpl w:val="5AB6588E"/>
    <w:lvl w:ilvl="0" w:tplc="8D3C99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C19E9"/>
    <w:multiLevelType w:val="hybridMultilevel"/>
    <w:tmpl w:val="124C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8365C6"/>
    <w:multiLevelType w:val="multilevel"/>
    <w:tmpl w:val="E67CE66C"/>
    <w:numStyleLink w:val="StyleNumberedLeft0cmHanging075cm"/>
  </w:abstractNum>
  <w:abstractNum w:abstractNumId="45" w15:restartNumberingAfterBreak="0">
    <w:nsid w:val="7A0A35B7"/>
    <w:multiLevelType w:val="hybridMultilevel"/>
    <w:tmpl w:val="CA163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E2D64C0"/>
    <w:multiLevelType w:val="hybridMultilevel"/>
    <w:tmpl w:val="552AC2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3"/>
  </w:num>
  <w:num w:numId="2">
    <w:abstractNumId w:val="41"/>
  </w:num>
  <w:num w:numId="3">
    <w:abstractNumId w:val="27"/>
  </w:num>
  <w:num w:numId="4">
    <w:abstractNumId w:val="23"/>
  </w:num>
  <w:num w:numId="5">
    <w:abstractNumId w:val="37"/>
  </w:num>
  <w:num w:numId="6">
    <w:abstractNumId w:val="43"/>
  </w:num>
  <w:num w:numId="7">
    <w:abstractNumId w:val="26"/>
  </w:num>
  <w:num w:numId="8">
    <w:abstractNumId w:val="24"/>
  </w:num>
  <w:num w:numId="9">
    <w:abstractNumId w:val="14"/>
  </w:num>
  <w:num w:numId="10">
    <w:abstractNumId w:val="17"/>
  </w:num>
  <w:num w:numId="11">
    <w:abstractNumId w:val="31"/>
  </w:num>
  <w:num w:numId="12">
    <w:abstractNumId w:val="28"/>
  </w:num>
  <w:num w:numId="13">
    <w:abstractNumId w:val="10"/>
  </w:num>
  <w:num w:numId="14">
    <w:abstractNumId w:val="44"/>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9"/>
  </w:num>
  <w:num w:numId="16">
    <w:abstractNumId w:val="11"/>
  </w:num>
  <w:num w:numId="17">
    <w:abstractNumId w:val="36"/>
  </w:num>
  <w:num w:numId="18">
    <w:abstractNumId w:val="12"/>
  </w:num>
  <w:num w:numId="19">
    <w:abstractNumId w:val="38"/>
  </w:num>
  <w:num w:numId="20">
    <w:abstractNumId w:val="20"/>
  </w:num>
  <w:num w:numId="21">
    <w:abstractNumId w:val="25"/>
  </w:num>
  <w:num w:numId="22">
    <w:abstractNumId w:val="15"/>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29"/>
  </w:num>
  <w:num w:numId="36">
    <w:abstractNumId w:val="35"/>
  </w:num>
  <w:num w:numId="37">
    <w:abstractNumId w:val="22"/>
  </w:num>
  <w:num w:numId="38">
    <w:abstractNumId w:val="16"/>
  </w:num>
  <w:num w:numId="39">
    <w:abstractNumId w:val="42"/>
  </w:num>
  <w:num w:numId="40">
    <w:abstractNumId w:val="13"/>
  </w:num>
  <w:num w:numId="41">
    <w:abstractNumId w:val="45"/>
  </w:num>
  <w:num w:numId="42">
    <w:abstractNumId w:val="30"/>
  </w:num>
  <w:num w:numId="43">
    <w:abstractNumId w:val="18"/>
  </w:num>
  <w:num w:numId="44">
    <w:abstractNumId w:val="32"/>
  </w:num>
  <w:num w:numId="45">
    <w:abstractNumId w:val="46"/>
  </w:num>
  <w:num w:numId="46">
    <w:abstractNumId w:val="34"/>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48"/>
    <w:rsid w:val="000117D4"/>
    <w:rsid w:val="0002747F"/>
    <w:rsid w:val="000314D7"/>
    <w:rsid w:val="0003770D"/>
    <w:rsid w:val="00045459"/>
    <w:rsid w:val="00045F8B"/>
    <w:rsid w:val="00046D2B"/>
    <w:rsid w:val="00047C9D"/>
    <w:rsid w:val="00054909"/>
    <w:rsid w:val="00056263"/>
    <w:rsid w:val="000623FB"/>
    <w:rsid w:val="0006425F"/>
    <w:rsid w:val="00064D8A"/>
    <w:rsid w:val="00064F82"/>
    <w:rsid w:val="00066510"/>
    <w:rsid w:val="00067B3A"/>
    <w:rsid w:val="000710BA"/>
    <w:rsid w:val="000720DF"/>
    <w:rsid w:val="00072D78"/>
    <w:rsid w:val="000738A9"/>
    <w:rsid w:val="00077523"/>
    <w:rsid w:val="000A486C"/>
    <w:rsid w:val="000A6A98"/>
    <w:rsid w:val="000B1753"/>
    <w:rsid w:val="000B760E"/>
    <w:rsid w:val="000C089F"/>
    <w:rsid w:val="000C3928"/>
    <w:rsid w:val="000C5E8E"/>
    <w:rsid w:val="000E20C1"/>
    <w:rsid w:val="000E26C8"/>
    <w:rsid w:val="000E4917"/>
    <w:rsid w:val="000E5B3F"/>
    <w:rsid w:val="000F4751"/>
    <w:rsid w:val="0010524C"/>
    <w:rsid w:val="00106A61"/>
    <w:rsid w:val="00111FB1"/>
    <w:rsid w:val="00113418"/>
    <w:rsid w:val="00132DDF"/>
    <w:rsid w:val="001356F1"/>
    <w:rsid w:val="00136994"/>
    <w:rsid w:val="0014128E"/>
    <w:rsid w:val="00151888"/>
    <w:rsid w:val="00170A2D"/>
    <w:rsid w:val="001808BC"/>
    <w:rsid w:val="00182B81"/>
    <w:rsid w:val="00182E64"/>
    <w:rsid w:val="0018536C"/>
    <w:rsid w:val="0018619D"/>
    <w:rsid w:val="00191B17"/>
    <w:rsid w:val="001A011E"/>
    <w:rsid w:val="001A054D"/>
    <w:rsid w:val="001A066A"/>
    <w:rsid w:val="001A13E6"/>
    <w:rsid w:val="001A5731"/>
    <w:rsid w:val="001B42C3"/>
    <w:rsid w:val="001C5D5E"/>
    <w:rsid w:val="001C6795"/>
    <w:rsid w:val="001D13B2"/>
    <w:rsid w:val="001D678D"/>
    <w:rsid w:val="001E03F8"/>
    <w:rsid w:val="001E0D8D"/>
    <w:rsid w:val="001E1678"/>
    <w:rsid w:val="001E3376"/>
    <w:rsid w:val="001F71A3"/>
    <w:rsid w:val="00205E96"/>
    <w:rsid w:val="002069B3"/>
    <w:rsid w:val="002329CF"/>
    <w:rsid w:val="00232F5B"/>
    <w:rsid w:val="00234BE1"/>
    <w:rsid w:val="002432C3"/>
    <w:rsid w:val="00243F44"/>
    <w:rsid w:val="00244B19"/>
    <w:rsid w:val="00247C29"/>
    <w:rsid w:val="002526D4"/>
    <w:rsid w:val="00260467"/>
    <w:rsid w:val="00263EA3"/>
    <w:rsid w:val="002675C2"/>
    <w:rsid w:val="0027105A"/>
    <w:rsid w:val="00284F85"/>
    <w:rsid w:val="00287D1B"/>
    <w:rsid w:val="00290915"/>
    <w:rsid w:val="00291558"/>
    <w:rsid w:val="00293E4F"/>
    <w:rsid w:val="002A22E2"/>
    <w:rsid w:val="002A258E"/>
    <w:rsid w:val="002B05EB"/>
    <w:rsid w:val="002B5E91"/>
    <w:rsid w:val="002C64F7"/>
    <w:rsid w:val="002C70C0"/>
    <w:rsid w:val="002D4E97"/>
    <w:rsid w:val="002E5B3F"/>
    <w:rsid w:val="002F2FF3"/>
    <w:rsid w:val="002F41F2"/>
    <w:rsid w:val="002F4E89"/>
    <w:rsid w:val="0030036A"/>
    <w:rsid w:val="00301BF3"/>
    <w:rsid w:val="0030208D"/>
    <w:rsid w:val="00304386"/>
    <w:rsid w:val="003118C0"/>
    <w:rsid w:val="00315310"/>
    <w:rsid w:val="00323418"/>
    <w:rsid w:val="003270FE"/>
    <w:rsid w:val="00327347"/>
    <w:rsid w:val="00330BA1"/>
    <w:rsid w:val="003357BF"/>
    <w:rsid w:val="00342BB1"/>
    <w:rsid w:val="003461D6"/>
    <w:rsid w:val="0035770D"/>
    <w:rsid w:val="00364FAD"/>
    <w:rsid w:val="0036738F"/>
    <w:rsid w:val="0036759C"/>
    <w:rsid w:val="00367AE5"/>
    <w:rsid w:val="00367D71"/>
    <w:rsid w:val="00375302"/>
    <w:rsid w:val="0038150A"/>
    <w:rsid w:val="00381684"/>
    <w:rsid w:val="003829EA"/>
    <w:rsid w:val="00385552"/>
    <w:rsid w:val="00392A3F"/>
    <w:rsid w:val="0039674C"/>
    <w:rsid w:val="003A5834"/>
    <w:rsid w:val="003A5AE8"/>
    <w:rsid w:val="003A6BA0"/>
    <w:rsid w:val="003B00A1"/>
    <w:rsid w:val="003B6E75"/>
    <w:rsid w:val="003B7DA1"/>
    <w:rsid w:val="003C47A6"/>
    <w:rsid w:val="003D0379"/>
    <w:rsid w:val="003D050E"/>
    <w:rsid w:val="003D2574"/>
    <w:rsid w:val="003D4C59"/>
    <w:rsid w:val="003D6DE5"/>
    <w:rsid w:val="003E3997"/>
    <w:rsid w:val="003F4267"/>
    <w:rsid w:val="003F6F5A"/>
    <w:rsid w:val="003F7EB9"/>
    <w:rsid w:val="00404032"/>
    <w:rsid w:val="004053EB"/>
    <w:rsid w:val="0040736F"/>
    <w:rsid w:val="00412C1F"/>
    <w:rsid w:val="00421CB2"/>
    <w:rsid w:val="004268B9"/>
    <w:rsid w:val="00433B96"/>
    <w:rsid w:val="004420F8"/>
    <w:rsid w:val="004440F1"/>
    <w:rsid w:val="004456DD"/>
    <w:rsid w:val="00446CDF"/>
    <w:rsid w:val="00446F1C"/>
    <w:rsid w:val="004521B7"/>
    <w:rsid w:val="00462AB5"/>
    <w:rsid w:val="004637F9"/>
    <w:rsid w:val="00465EAF"/>
    <w:rsid w:val="004738C5"/>
    <w:rsid w:val="0047523A"/>
    <w:rsid w:val="00482FA0"/>
    <w:rsid w:val="00491046"/>
    <w:rsid w:val="004A2AC7"/>
    <w:rsid w:val="004A6D2F"/>
    <w:rsid w:val="004B40F3"/>
    <w:rsid w:val="004C2887"/>
    <w:rsid w:val="004D2626"/>
    <w:rsid w:val="004D6E26"/>
    <w:rsid w:val="004D77D3"/>
    <w:rsid w:val="004E2959"/>
    <w:rsid w:val="004E6BFC"/>
    <w:rsid w:val="004E751E"/>
    <w:rsid w:val="004F20EF"/>
    <w:rsid w:val="00502660"/>
    <w:rsid w:val="0050321C"/>
    <w:rsid w:val="005150FF"/>
    <w:rsid w:val="00522346"/>
    <w:rsid w:val="00527D9C"/>
    <w:rsid w:val="0053400A"/>
    <w:rsid w:val="00540FCD"/>
    <w:rsid w:val="0054304B"/>
    <w:rsid w:val="00546350"/>
    <w:rsid w:val="0054712D"/>
    <w:rsid w:val="00547EF6"/>
    <w:rsid w:val="00551329"/>
    <w:rsid w:val="005528AA"/>
    <w:rsid w:val="005570B5"/>
    <w:rsid w:val="00567E18"/>
    <w:rsid w:val="00575F5F"/>
    <w:rsid w:val="00581805"/>
    <w:rsid w:val="00585F76"/>
    <w:rsid w:val="005A2174"/>
    <w:rsid w:val="005A34E4"/>
    <w:rsid w:val="005A442D"/>
    <w:rsid w:val="005B17F2"/>
    <w:rsid w:val="005B552F"/>
    <w:rsid w:val="005B6222"/>
    <w:rsid w:val="005B6504"/>
    <w:rsid w:val="005B7FB0"/>
    <w:rsid w:val="005C35A5"/>
    <w:rsid w:val="005C577C"/>
    <w:rsid w:val="005D0621"/>
    <w:rsid w:val="005D1E27"/>
    <w:rsid w:val="005D2A3E"/>
    <w:rsid w:val="005D5D67"/>
    <w:rsid w:val="005E022E"/>
    <w:rsid w:val="005E1F1A"/>
    <w:rsid w:val="005E5215"/>
    <w:rsid w:val="005E65F6"/>
    <w:rsid w:val="005F41BB"/>
    <w:rsid w:val="005F7F7E"/>
    <w:rsid w:val="00604D9B"/>
    <w:rsid w:val="00614693"/>
    <w:rsid w:val="00614848"/>
    <w:rsid w:val="00623C2F"/>
    <w:rsid w:val="00624392"/>
    <w:rsid w:val="00633578"/>
    <w:rsid w:val="006351CA"/>
    <w:rsid w:val="00637068"/>
    <w:rsid w:val="00650811"/>
    <w:rsid w:val="00661D3E"/>
    <w:rsid w:val="0066282C"/>
    <w:rsid w:val="006661BC"/>
    <w:rsid w:val="00670CFA"/>
    <w:rsid w:val="00675EC2"/>
    <w:rsid w:val="00682FC6"/>
    <w:rsid w:val="00684163"/>
    <w:rsid w:val="006867BC"/>
    <w:rsid w:val="00692627"/>
    <w:rsid w:val="0069340C"/>
    <w:rsid w:val="00693D01"/>
    <w:rsid w:val="006969E7"/>
    <w:rsid w:val="006A3643"/>
    <w:rsid w:val="006C1F4A"/>
    <w:rsid w:val="006C2A29"/>
    <w:rsid w:val="006C64CF"/>
    <w:rsid w:val="006C658C"/>
    <w:rsid w:val="006D17B1"/>
    <w:rsid w:val="006D4752"/>
    <w:rsid w:val="006D6E1A"/>
    <w:rsid w:val="006D708A"/>
    <w:rsid w:val="006E123A"/>
    <w:rsid w:val="006E14C1"/>
    <w:rsid w:val="006E1FA9"/>
    <w:rsid w:val="006E3138"/>
    <w:rsid w:val="006E5C1B"/>
    <w:rsid w:val="006F0292"/>
    <w:rsid w:val="006F27FA"/>
    <w:rsid w:val="006F416B"/>
    <w:rsid w:val="006F519B"/>
    <w:rsid w:val="007004C0"/>
    <w:rsid w:val="0070493D"/>
    <w:rsid w:val="007062AD"/>
    <w:rsid w:val="007066D0"/>
    <w:rsid w:val="00713675"/>
    <w:rsid w:val="00713DB7"/>
    <w:rsid w:val="00715823"/>
    <w:rsid w:val="007279E8"/>
    <w:rsid w:val="00734A26"/>
    <w:rsid w:val="00737B93"/>
    <w:rsid w:val="00744F52"/>
    <w:rsid w:val="00745BF0"/>
    <w:rsid w:val="00760726"/>
    <w:rsid w:val="007615FE"/>
    <w:rsid w:val="0076655C"/>
    <w:rsid w:val="007742DC"/>
    <w:rsid w:val="00791437"/>
    <w:rsid w:val="007A4C77"/>
    <w:rsid w:val="007B0C2C"/>
    <w:rsid w:val="007B278E"/>
    <w:rsid w:val="007C3A5D"/>
    <w:rsid w:val="007C5C23"/>
    <w:rsid w:val="007E18D7"/>
    <w:rsid w:val="007E19A0"/>
    <w:rsid w:val="007E2A26"/>
    <w:rsid w:val="007E6632"/>
    <w:rsid w:val="007E6FB4"/>
    <w:rsid w:val="007F0D57"/>
    <w:rsid w:val="007F2348"/>
    <w:rsid w:val="007F506F"/>
    <w:rsid w:val="00803F07"/>
    <w:rsid w:val="0080749A"/>
    <w:rsid w:val="00821FB8"/>
    <w:rsid w:val="00822ACD"/>
    <w:rsid w:val="00832B9E"/>
    <w:rsid w:val="00835912"/>
    <w:rsid w:val="00855477"/>
    <w:rsid w:val="00855C66"/>
    <w:rsid w:val="00871EE4"/>
    <w:rsid w:val="008749C2"/>
    <w:rsid w:val="00874ED2"/>
    <w:rsid w:val="00877CFA"/>
    <w:rsid w:val="008B1928"/>
    <w:rsid w:val="008B1DE2"/>
    <w:rsid w:val="008B293F"/>
    <w:rsid w:val="008B7371"/>
    <w:rsid w:val="008B74E8"/>
    <w:rsid w:val="008D3DDB"/>
    <w:rsid w:val="008D50C9"/>
    <w:rsid w:val="008E190D"/>
    <w:rsid w:val="008E5766"/>
    <w:rsid w:val="008F3301"/>
    <w:rsid w:val="008F573F"/>
    <w:rsid w:val="00903042"/>
    <w:rsid w:val="009034EC"/>
    <w:rsid w:val="009037C5"/>
    <w:rsid w:val="00910FD8"/>
    <w:rsid w:val="009125C0"/>
    <w:rsid w:val="0093067A"/>
    <w:rsid w:val="00933E85"/>
    <w:rsid w:val="00937A1C"/>
    <w:rsid w:val="00941C60"/>
    <w:rsid w:val="00965FD0"/>
    <w:rsid w:val="00966D42"/>
    <w:rsid w:val="00971689"/>
    <w:rsid w:val="00973E90"/>
    <w:rsid w:val="00975B07"/>
    <w:rsid w:val="00980B4A"/>
    <w:rsid w:val="00981A86"/>
    <w:rsid w:val="0098401D"/>
    <w:rsid w:val="00984779"/>
    <w:rsid w:val="009C0C78"/>
    <w:rsid w:val="009D2173"/>
    <w:rsid w:val="009D2304"/>
    <w:rsid w:val="009D4490"/>
    <w:rsid w:val="009D453C"/>
    <w:rsid w:val="009E3D0A"/>
    <w:rsid w:val="009E51FC"/>
    <w:rsid w:val="009F1D28"/>
    <w:rsid w:val="009F7618"/>
    <w:rsid w:val="009F7656"/>
    <w:rsid w:val="00A04D23"/>
    <w:rsid w:val="00A06766"/>
    <w:rsid w:val="00A12B40"/>
    <w:rsid w:val="00A13765"/>
    <w:rsid w:val="00A13FBF"/>
    <w:rsid w:val="00A21B12"/>
    <w:rsid w:val="00A2302D"/>
    <w:rsid w:val="00A23F80"/>
    <w:rsid w:val="00A46E98"/>
    <w:rsid w:val="00A5617B"/>
    <w:rsid w:val="00A6352B"/>
    <w:rsid w:val="00A653F0"/>
    <w:rsid w:val="00A66DE4"/>
    <w:rsid w:val="00A701B5"/>
    <w:rsid w:val="00A714BB"/>
    <w:rsid w:val="00A73E55"/>
    <w:rsid w:val="00A7478A"/>
    <w:rsid w:val="00A92D8F"/>
    <w:rsid w:val="00A943C9"/>
    <w:rsid w:val="00AB2988"/>
    <w:rsid w:val="00AB5E4A"/>
    <w:rsid w:val="00AB7999"/>
    <w:rsid w:val="00AD06AB"/>
    <w:rsid w:val="00AD284F"/>
    <w:rsid w:val="00AD3292"/>
    <w:rsid w:val="00AE31DA"/>
    <w:rsid w:val="00AE5F2C"/>
    <w:rsid w:val="00AE7AF0"/>
    <w:rsid w:val="00AF424F"/>
    <w:rsid w:val="00AF59BE"/>
    <w:rsid w:val="00B02F29"/>
    <w:rsid w:val="00B05184"/>
    <w:rsid w:val="00B148D0"/>
    <w:rsid w:val="00B157CF"/>
    <w:rsid w:val="00B220E4"/>
    <w:rsid w:val="00B24201"/>
    <w:rsid w:val="00B26533"/>
    <w:rsid w:val="00B33B34"/>
    <w:rsid w:val="00B458E2"/>
    <w:rsid w:val="00B500CA"/>
    <w:rsid w:val="00B54AFC"/>
    <w:rsid w:val="00B86314"/>
    <w:rsid w:val="00B90843"/>
    <w:rsid w:val="00B94A3A"/>
    <w:rsid w:val="00BA1C2E"/>
    <w:rsid w:val="00BA1CB5"/>
    <w:rsid w:val="00BB722D"/>
    <w:rsid w:val="00BC200B"/>
    <w:rsid w:val="00BC4756"/>
    <w:rsid w:val="00BC69A4"/>
    <w:rsid w:val="00BE0680"/>
    <w:rsid w:val="00BE1C82"/>
    <w:rsid w:val="00BE305F"/>
    <w:rsid w:val="00BE5C7D"/>
    <w:rsid w:val="00BE7BA3"/>
    <w:rsid w:val="00BF5682"/>
    <w:rsid w:val="00BF5FFA"/>
    <w:rsid w:val="00BF7B09"/>
    <w:rsid w:val="00C20A95"/>
    <w:rsid w:val="00C20DDD"/>
    <w:rsid w:val="00C2692F"/>
    <w:rsid w:val="00C3207C"/>
    <w:rsid w:val="00C400E1"/>
    <w:rsid w:val="00C4111E"/>
    <w:rsid w:val="00C41187"/>
    <w:rsid w:val="00C41493"/>
    <w:rsid w:val="00C47DAE"/>
    <w:rsid w:val="00C63C31"/>
    <w:rsid w:val="00C655F2"/>
    <w:rsid w:val="00C757A0"/>
    <w:rsid w:val="00C760DE"/>
    <w:rsid w:val="00C82630"/>
    <w:rsid w:val="00C85525"/>
    <w:rsid w:val="00C85B4E"/>
    <w:rsid w:val="00C907F7"/>
    <w:rsid w:val="00CA2103"/>
    <w:rsid w:val="00CA2F3E"/>
    <w:rsid w:val="00CA747F"/>
    <w:rsid w:val="00CB0338"/>
    <w:rsid w:val="00CB6B99"/>
    <w:rsid w:val="00CB7B88"/>
    <w:rsid w:val="00CC2427"/>
    <w:rsid w:val="00CC42CC"/>
    <w:rsid w:val="00CD439C"/>
    <w:rsid w:val="00CD700A"/>
    <w:rsid w:val="00CE35E8"/>
    <w:rsid w:val="00CE4C87"/>
    <w:rsid w:val="00CE544A"/>
    <w:rsid w:val="00CE791F"/>
    <w:rsid w:val="00CE7E27"/>
    <w:rsid w:val="00CF1D2F"/>
    <w:rsid w:val="00CF358F"/>
    <w:rsid w:val="00CF3764"/>
    <w:rsid w:val="00D11E1C"/>
    <w:rsid w:val="00D1272D"/>
    <w:rsid w:val="00D160B0"/>
    <w:rsid w:val="00D17F94"/>
    <w:rsid w:val="00D223FC"/>
    <w:rsid w:val="00D26D1E"/>
    <w:rsid w:val="00D376FA"/>
    <w:rsid w:val="00D465BF"/>
    <w:rsid w:val="00D474CF"/>
    <w:rsid w:val="00D52A5A"/>
    <w:rsid w:val="00D5547E"/>
    <w:rsid w:val="00D64E30"/>
    <w:rsid w:val="00D66D4B"/>
    <w:rsid w:val="00D80231"/>
    <w:rsid w:val="00D869A1"/>
    <w:rsid w:val="00D969D5"/>
    <w:rsid w:val="00DA413F"/>
    <w:rsid w:val="00DA4584"/>
    <w:rsid w:val="00DA614B"/>
    <w:rsid w:val="00DB167B"/>
    <w:rsid w:val="00DC3060"/>
    <w:rsid w:val="00DD7FF2"/>
    <w:rsid w:val="00DE0FB2"/>
    <w:rsid w:val="00DE50D6"/>
    <w:rsid w:val="00DE59E6"/>
    <w:rsid w:val="00DF093E"/>
    <w:rsid w:val="00DF4510"/>
    <w:rsid w:val="00DF6CF8"/>
    <w:rsid w:val="00E01F42"/>
    <w:rsid w:val="00E04CA2"/>
    <w:rsid w:val="00E206D6"/>
    <w:rsid w:val="00E26F83"/>
    <w:rsid w:val="00E3366E"/>
    <w:rsid w:val="00E3518B"/>
    <w:rsid w:val="00E44CBF"/>
    <w:rsid w:val="00E4732E"/>
    <w:rsid w:val="00E52086"/>
    <w:rsid w:val="00E543A6"/>
    <w:rsid w:val="00E566EF"/>
    <w:rsid w:val="00E60479"/>
    <w:rsid w:val="00E61D73"/>
    <w:rsid w:val="00E61E15"/>
    <w:rsid w:val="00E7079F"/>
    <w:rsid w:val="00E73684"/>
    <w:rsid w:val="00E7772B"/>
    <w:rsid w:val="00E818D6"/>
    <w:rsid w:val="00E84578"/>
    <w:rsid w:val="00E851C5"/>
    <w:rsid w:val="00E87F7A"/>
    <w:rsid w:val="00E96BD7"/>
    <w:rsid w:val="00EA0DB1"/>
    <w:rsid w:val="00EA0DD4"/>
    <w:rsid w:val="00EA0EE9"/>
    <w:rsid w:val="00EB7F64"/>
    <w:rsid w:val="00EC15E6"/>
    <w:rsid w:val="00ED52CA"/>
    <w:rsid w:val="00ED5860"/>
    <w:rsid w:val="00EE35C9"/>
    <w:rsid w:val="00EF583D"/>
    <w:rsid w:val="00EF73AA"/>
    <w:rsid w:val="00F05ECA"/>
    <w:rsid w:val="00F13671"/>
    <w:rsid w:val="00F30F73"/>
    <w:rsid w:val="00F31E21"/>
    <w:rsid w:val="00F3566E"/>
    <w:rsid w:val="00F375FB"/>
    <w:rsid w:val="00F4106C"/>
    <w:rsid w:val="00F41AC1"/>
    <w:rsid w:val="00F4367A"/>
    <w:rsid w:val="00F445B1"/>
    <w:rsid w:val="00F45CD4"/>
    <w:rsid w:val="00F525EF"/>
    <w:rsid w:val="00F62CB2"/>
    <w:rsid w:val="00F66DCA"/>
    <w:rsid w:val="00F74F53"/>
    <w:rsid w:val="00F7606D"/>
    <w:rsid w:val="00F81670"/>
    <w:rsid w:val="00F82024"/>
    <w:rsid w:val="00F8436D"/>
    <w:rsid w:val="00F873C6"/>
    <w:rsid w:val="00F9345E"/>
    <w:rsid w:val="00F95BC9"/>
    <w:rsid w:val="00F97E07"/>
    <w:rsid w:val="00FA624C"/>
    <w:rsid w:val="00FC6127"/>
    <w:rsid w:val="00FC70B5"/>
    <w:rsid w:val="00FD0FAC"/>
    <w:rsid w:val="00FD1DFA"/>
    <w:rsid w:val="00FD4966"/>
    <w:rsid w:val="00FE57DC"/>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A86029"/>
  <w15:docId w15:val="{46CFFF6D-7DD3-40F8-A75E-8760D1B1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6476">
      <w:bodyDiv w:val="1"/>
      <w:marLeft w:val="0"/>
      <w:marRight w:val="0"/>
      <w:marTop w:val="0"/>
      <w:marBottom w:val="0"/>
      <w:divBdr>
        <w:top w:val="none" w:sz="0" w:space="0" w:color="auto"/>
        <w:left w:val="none" w:sz="0" w:space="0" w:color="auto"/>
        <w:bottom w:val="none" w:sz="0" w:space="0" w:color="auto"/>
        <w:right w:val="none" w:sz="0" w:space="0" w:color="auto"/>
      </w:divBdr>
    </w:div>
    <w:div w:id="160240798">
      <w:bodyDiv w:val="1"/>
      <w:marLeft w:val="0"/>
      <w:marRight w:val="0"/>
      <w:marTop w:val="0"/>
      <w:marBottom w:val="0"/>
      <w:divBdr>
        <w:top w:val="none" w:sz="0" w:space="0" w:color="auto"/>
        <w:left w:val="none" w:sz="0" w:space="0" w:color="auto"/>
        <w:bottom w:val="none" w:sz="0" w:space="0" w:color="auto"/>
        <w:right w:val="none" w:sz="0" w:space="0" w:color="auto"/>
      </w:divBdr>
    </w:div>
    <w:div w:id="1687569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237489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263206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2572188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293398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18711592">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 w:id="20736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8B96-4FE6-4F05-8661-38DE35EE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4</TotalTime>
  <Pages>7</Pages>
  <Words>2664</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Dave.Scholes</dc:creator>
  <cp:lastModifiedBy>MITCHELL John</cp:lastModifiedBy>
  <cp:revision>3</cp:revision>
  <cp:lastPrinted>2021-10-11T15:03:00Z</cp:lastPrinted>
  <dcterms:created xsi:type="dcterms:W3CDTF">2021-10-27T14:05:00Z</dcterms:created>
  <dcterms:modified xsi:type="dcterms:W3CDTF">2021-10-28T09:24:00Z</dcterms:modified>
</cp:coreProperties>
</file>